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C2D4" w14:textId="77777777" w:rsidR="00000000" w:rsidRDefault="00455A0E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79826268" wp14:editId="1A063635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560B" w14:textId="2A1C3ADB" w:rsidR="00000000" w:rsidRDefault="00455A0E" w:rsidP="00455A0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Lichamelijke aspecten van trauma en gehechtheidsproblematiek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>(Neuro)biologische factoren in de diagnostiek en behandeling van volwassenen</w:t>
      </w:r>
      <w:r>
        <w:rPr>
          <w:rFonts w:ascii="Verdana" w:eastAsia="Times New Roman" w:hAnsi="Verdana"/>
          <w:sz w:val="18"/>
          <w:szCs w:val="18"/>
        </w:rPr>
        <w:br/>
      </w:r>
    </w:p>
    <w:p w14:paraId="35ECA675" w14:textId="77777777" w:rsidR="00000000" w:rsidRDefault="00455A0E">
      <w:pPr>
        <w:divId w:val="1690984126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</w:t>
      </w:r>
      <w:r>
        <w:rPr>
          <w:rFonts w:ascii="Verdana" w:eastAsia="Times New Roman" w:hAnsi="Verdana"/>
          <w:sz w:val="18"/>
          <w:szCs w:val="18"/>
        </w:rPr>
        <w:t>ezond psychisch functioneren vraagt een adequate interactie met de externe wereld en</w:t>
      </w:r>
      <w:r>
        <w:rPr>
          <w:rFonts w:ascii="Verdana" w:eastAsia="Times New Roman" w:hAnsi="Verdana"/>
          <w:sz w:val="18"/>
          <w:szCs w:val="18"/>
        </w:rPr>
        <w:t xml:space="preserve"> regulering van alle interne belevingen, waaronder emoties. Psychisch functioneren en disfunctioneren is biologisch verankerd en zichtbaar in reactiepatronen, beweging en houding.</w:t>
      </w:r>
    </w:p>
    <w:p w14:paraId="52BAB4C3" w14:textId="6D0E3AE0" w:rsidR="00000000" w:rsidRDefault="00455A0E">
      <w:pPr>
        <w:pStyle w:val="Normaalweb"/>
        <w:spacing w:after="240" w:afterAutospacing="0"/>
        <w:divId w:val="7270736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Vanaf het allereerste leven zijn we in interactie met onze binnen- en buiten</w:t>
      </w:r>
      <w:r>
        <w:rPr>
          <w:rFonts w:ascii="Verdana" w:hAnsi="Verdana"/>
          <w:sz w:val="18"/>
          <w:szCs w:val="18"/>
        </w:rPr>
        <w:t>wereld. De primaire verzorgers, met wie we de eerste hechtingsrelaties aan gaan, helpen ons een weg te vinden in alle nieuwe prikkels door een primair non-verbale dialoog. Deze niet- talige dans van wederzijdse beïnvloeding blijft ons hele leven actief, oo</w:t>
      </w:r>
      <w:r>
        <w:rPr>
          <w:rFonts w:ascii="Verdana" w:hAnsi="Verdana"/>
          <w:sz w:val="18"/>
          <w:szCs w:val="18"/>
        </w:rPr>
        <w:t>k als er sprake is van incidentele of langdurige onveiligheid.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In trauma, of dat nu hechtingstrauma, ontwikkelingstrauma, vroegkinderlijk trauma, chronisch of incidenteel trauma is, overschrijdt de grootte van de prikkels het vermogen om deze te verwerk</w:t>
      </w:r>
      <w:r>
        <w:rPr>
          <w:rFonts w:ascii="Verdana" w:hAnsi="Verdana"/>
          <w:sz w:val="18"/>
          <w:szCs w:val="18"/>
        </w:rPr>
        <w:t>en. Evolutionaire oude mechanismen worden in stelling gebracht om te overleven. Dit is waarmee onze cliënten bij ons komen. Dit is waarmee ze in onze kamer zitten en ons beïnvloeden.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En wij, met onze eigen biologische bagage, behandelen onze cliënten met </w:t>
      </w:r>
      <w:r>
        <w:rPr>
          <w:rFonts w:ascii="Verdana" w:hAnsi="Verdana"/>
          <w:sz w:val="18"/>
          <w:szCs w:val="18"/>
        </w:rPr>
        <w:t>specifieke behandeltechnieken. Maar hoezeer laten we ons door hen beïnvloeden, merken we dat op en zo ja, wat doen we ermee?</w:t>
      </w:r>
    </w:p>
    <w:p w14:paraId="5FB58A02" w14:textId="47108A72" w:rsidR="00000000" w:rsidRDefault="00455A0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14:paraId="527C6184" w14:textId="77777777" w:rsidR="00000000" w:rsidRDefault="00455A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raakt vertrouwd met gehechtheidtheorieën en hun belang voor de therapeutische relatie, zowel waar het om de patiënt al</w:t>
      </w:r>
      <w:r>
        <w:rPr>
          <w:rFonts w:ascii="Verdana" w:eastAsia="Times New Roman" w:hAnsi="Verdana"/>
          <w:sz w:val="18"/>
          <w:szCs w:val="18"/>
        </w:rPr>
        <w:t>s om jezelf gaat.</w:t>
      </w:r>
    </w:p>
    <w:p w14:paraId="08B5E949" w14:textId="77777777" w:rsidR="00000000" w:rsidRDefault="00455A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krijgt inzicht in het belang van vroeg trauma en hechtingervaringen bij psychische disfunctioneren in het volwassen leven.</w:t>
      </w:r>
    </w:p>
    <w:p w14:paraId="45C35150" w14:textId="77777777" w:rsidR="00000000" w:rsidRDefault="00455A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krijgt inzicht in de klinische betekenis van neurobiologische concepten als de polyvagus theorie en spiegelne</w:t>
      </w:r>
      <w:r>
        <w:rPr>
          <w:rFonts w:ascii="Verdana" w:eastAsia="Times New Roman" w:hAnsi="Verdana"/>
          <w:sz w:val="18"/>
          <w:szCs w:val="18"/>
        </w:rPr>
        <w:t>uronen</w:t>
      </w:r>
    </w:p>
    <w:p w14:paraId="711341F3" w14:textId="77777777" w:rsidR="00000000" w:rsidRDefault="00455A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te kijken naar lichamelijke veranderingen door traumata in de voorgeschiedenis en hoe dit de vrijheid in het hier en nu beperkt</w:t>
      </w:r>
    </w:p>
    <w:p w14:paraId="0AD609F5" w14:textId="77777777" w:rsidR="00000000" w:rsidRDefault="00455A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verwerft inzichten, ervaringen en technieken die het behandelen van mensen met ernstig trauma in hun voorgesc</w:t>
      </w:r>
      <w:r>
        <w:rPr>
          <w:rFonts w:ascii="Verdana" w:eastAsia="Times New Roman" w:hAnsi="Verdana"/>
          <w:sz w:val="18"/>
          <w:szCs w:val="18"/>
        </w:rPr>
        <w:t>hiedenis kan faciliteren.</w:t>
      </w:r>
    </w:p>
    <w:p w14:paraId="5048A716" w14:textId="77777777" w:rsidR="00000000" w:rsidRDefault="00455A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wordt meer bewust van de impact van de emotionele reacties van jouw patiënten op jezelf als therapeut, en je krijgt handvatten aangereikt hoe hier mee om te gaan</w:t>
      </w:r>
    </w:p>
    <w:p w14:paraId="0E3EE1D8" w14:textId="60C43FF6" w:rsidR="00000000" w:rsidRDefault="00455A0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</w:t>
      </w:r>
      <w:r>
        <w:rPr>
          <w:rFonts w:ascii="Verdana" w:eastAsia="Times New Roman" w:hAnsi="Verdana"/>
          <w:sz w:val="18"/>
          <w:szCs w:val="18"/>
        </w:rPr>
        <w:t>holoog BIG, Eerstelijnspsycholoog NIP, Systeemtherapeut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14:paraId="1D6ACFB2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emoties en hun functie in het dagelijkse leven</w:t>
      </w:r>
    </w:p>
    <w:p w14:paraId="25AEAA4B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autonome zenuwstelsel, polyvagus theorie</w:t>
      </w:r>
    </w:p>
    <w:p w14:paraId="38C7D5CA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gehechtheid, het belang van vroege gehechtheidsrelaties voor het ontwikkelende brein</w:t>
      </w:r>
    </w:p>
    <w:p w14:paraId="6561785A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affectregulatie als kernbegrip, met aandacht voor de interacties binnen het gezin die hiervoor de basis vormen</w:t>
      </w:r>
    </w:p>
    <w:p w14:paraId="675309F5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neurobiologische afweermechanismen en overlevingsstrategieën, bron van hulp en klachten</w:t>
      </w:r>
    </w:p>
    <w:p w14:paraId="77B1E01B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lichamelijke reacties en het non-verbale geheugen</w:t>
      </w:r>
    </w:p>
    <w:p w14:paraId="7DEF5F6B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de rol </w:t>
      </w:r>
      <w:r>
        <w:rPr>
          <w:rFonts w:ascii="Verdana" w:eastAsia="Times New Roman" w:hAnsi="Verdana"/>
          <w:sz w:val="18"/>
          <w:szCs w:val="18"/>
        </w:rPr>
        <w:t>van spiegelneuronen in gehechtheid</w:t>
      </w:r>
    </w:p>
    <w:p w14:paraId="632C9690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leren kijken; er valt heel veel te zien als je kijkt</w:t>
      </w:r>
    </w:p>
    <w:p w14:paraId="4098F48B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vroege gehechtheidsrelaties en hun verband met hechtingsstijlen en </w:t>
      </w:r>
      <w:proofErr w:type="spellStart"/>
      <w:r>
        <w:rPr>
          <w:rFonts w:ascii="Verdana" w:eastAsia="Times New Roman" w:hAnsi="Verdana"/>
          <w:sz w:val="18"/>
          <w:szCs w:val="18"/>
        </w:rPr>
        <w:t>copingstrategieën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op volwassen leeftijd</w:t>
      </w:r>
    </w:p>
    <w:p w14:paraId="46EA575B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de rol van gehechtheid bij het ontwikkelen van </w:t>
      </w:r>
      <w:proofErr w:type="spellStart"/>
      <w:r>
        <w:rPr>
          <w:rFonts w:ascii="Verdana" w:eastAsia="Times New Roman" w:hAnsi="Verdana"/>
          <w:sz w:val="18"/>
          <w:szCs w:val="18"/>
        </w:rPr>
        <w:t>mentaliserend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vermogen. De relatie tussen </w:t>
      </w:r>
      <w:proofErr w:type="spellStart"/>
      <w:r>
        <w:rPr>
          <w:rFonts w:ascii="Verdana" w:eastAsia="Times New Roman" w:hAnsi="Verdana"/>
          <w:sz w:val="18"/>
          <w:szCs w:val="18"/>
        </w:rPr>
        <w:t>mentaliserend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vermogen en empathie</w:t>
      </w:r>
    </w:p>
    <w:p w14:paraId="27261640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overdracht en tegenoverdracht in het kader van vroege gehechtheidsrelaties: de gehechtheidservaringen van de therapeut en de begrenzing van wat bereikbaar is in therapie vanuit de</w:t>
      </w:r>
      <w:r>
        <w:rPr>
          <w:rFonts w:ascii="Verdana" w:eastAsia="Times New Roman" w:hAnsi="Verdana"/>
          <w:sz w:val="18"/>
          <w:szCs w:val="18"/>
        </w:rPr>
        <w:t xml:space="preserve"> mogelijkheden en beperkingen van de therapeut</w:t>
      </w:r>
    </w:p>
    <w:p w14:paraId="7B306712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de ‘non-specifieke factor’ </w:t>
      </w:r>
      <w:r>
        <w:rPr>
          <w:rFonts w:ascii="Verdana" w:eastAsia="Times New Roman" w:hAnsi="Verdana"/>
          <w:sz w:val="18"/>
          <w:szCs w:val="18"/>
        </w:rPr>
        <w:t>in psychotherapie in het kader van gehechtheid, trauma en de neurobiologische reacties van zowel therapeut als cliënt</w:t>
      </w:r>
    </w:p>
    <w:p w14:paraId="0AEF04DE" w14:textId="77777777" w:rsidR="00000000" w:rsidRDefault="00455A0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de therapeut als veilige ouder, geraakt maar niet ontregeld door het verhaal van zijn/haar cliënt en het vermogen tot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de </w:t>
      </w:r>
      <w:r>
        <w:rPr>
          <w:rFonts w:ascii="Verdana" w:eastAsia="Times New Roman" w:hAnsi="Verdana"/>
          <w:sz w:val="18"/>
          <w:szCs w:val="18"/>
        </w:rPr>
        <w:t>therapeut</w:t>
      </w:r>
    </w:p>
    <w:p w14:paraId="0E9A7EB6" w14:textId="3D8FF647" w:rsidR="00000000" w:rsidRDefault="00455A0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drs. Milka van Est - Psychiater en </w:t>
      </w:r>
      <w:proofErr w:type="spellStart"/>
      <w:r>
        <w:rPr>
          <w:rFonts w:ascii="Verdana" w:eastAsia="Times New Roman" w:hAnsi="Verdana"/>
          <w:sz w:val="18"/>
          <w:szCs w:val="18"/>
        </w:rPr>
        <w:t>sensorimotor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therapeut. Werkzaam in eigen praktijk en verbonden aan Max Ernst GGZ.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</w:t>
      </w:r>
      <w:r>
        <w:rPr>
          <w:rFonts w:ascii="Verdana" w:eastAsia="Times New Roman" w:hAnsi="Verdana"/>
          <w:sz w:val="18"/>
          <w:szCs w:val="18"/>
        </w:rPr>
        <w:t xml:space="preserve">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</w:p>
    <w:p w14:paraId="57FBB939" w14:textId="77777777" w:rsidR="00000000" w:rsidRDefault="00455A0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Wallin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D. J. (2010). </w:t>
      </w:r>
      <w:r>
        <w:rPr>
          <w:rStyle w:val="Nadruk"/>
          <w:rFonts w:ascii="Verdana" w:eastAsia="Times New Roman" w:hAnsi="Verdana"/>
          <w:sz w:val="18"/>
          <w:szCs w:val="18"/>
        </w:rPr>
        <w:t>Gehechtheid in psychotherapie</w:t>
      </w:r>
      <w:r>
        <w:rPr>
          <w:rFonts w:ascii="Verdana" w:eastAsia="Times New Roman" w:hAnsi="Verdana"/>
          <w:sz w:val="18"/>
          <w:szCs w:val="18"/>
        </w:rPr>
        <w:t xml:space="preserve">. Uitgeverij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; ISBN-13: 978 90 5712 302 3</w:t>
      </w:r>
    </w:p>
    <w:p w14:paraId="6EFDA6E1" w14:textId="77777777" w:rsidR="00000000" w:rsidRDefault="00455A0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Van der Kolk, B. (2016). </w:t>
      </w:r>
      <w:r>
        <w:rPr>
          <w:rStyle w:val="Nadruk"/>
          <w:rFonts w:ascii="Verdana" w:eastAsia="Times New Roman" w:hAnsi="Verdana"/>
          <w:sz w:val="18"/>
          <w:szCs w:val="18"/>
        </w:rPr>
        <w:t xml:space="preserve">Traumasporen. </w:t>
      </w:r>
      <w:r>
        <w:rPr>
          <w:rFonts w:ascii="Verdana" w:eastAsia="Times New Roman" w:hAnsi="Verdana"/>
          <w:sz w:val="18"/>
          <w:szCs w:val="18"/>
        </w:rPr>
        <w:t>Uitgeverij Mens! ISBN 9789463160315</w:t>
      </w:r>
    </w:p>
    <w:p w14:paraId="13F80A84" w14:textId="152CE6B2" w:rsidR="00000000" w:rsidRDefault="00455A0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Aanbevolen literatuur:</w:t>
      </w:r>
    </w:p>
    <w:p w14:paraId="2DB81856" w14:textId="77777777" w:rsidR="00000000" w:rsidRDefault="00455A0E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Ogden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P. (2006). </w:t>
      </w:r>
      <w:r>
        <w:rPr>
          <w:rStyle w:val="Nadruk"/>
          <w:rFonts w:ascii="Verdana" w:eastAsia="Times New Roman" w:hAnsi="Verdana"/>
          <w:sz w:val="18"/>
          <w:szCs w:val="18"/>
        </w:rPr>
        <w:t xml:space="preserve">Trauma </w:t>
      </w:r>
      <w:proofErr w:type="spellStart"/>
      <w:r>
        <w:rPr>
          <w:rStyle w:val="Nadruk"/>
          <w:rFonts w:ascii="Verdana" w:eastAsia="Times New Roman" w:hAnsi="Verdana"/>
          <w:sz w:val="18"/>
          <w:szCs w:val="18"/>
        </w:rPr>
        <w:t>and</w:t>
      </w:r>
      <w:proofErr w:type="spellEnd"/>
      <w:r>
        <w:rPr>
          <w:rStyle w:val="Nadruk"/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Style w:val="Nadruk"/>
          <w:rFonts w:ascii="Verdana" w:eastAsia="Times New Roman" w:hAnsi="Verdana"/>
          <w:sz w:val="18"/>
          <w:szCs w:val="18"/>
        </w:rPr>
        <w:t>the</w:t>
      </w:r>
      <w:proofErr w:type="spellEnd"/>
      <w:r>
        <w:rPr>
          <w:rStyle w:val="Nadruk"/>
          <w:rFonts w:ascii="Verdana" w:eastAsia="Times New Roman" w:hAnsi="Verdana"/>
          <w:sz w:val="18"/>
          <w:szCs w:val="18"/>
        </w:rPr>
        <w:t xml:space="preserve"> Body</w:t>
      </w:r>
      <w:r>
        <w:rPr>
          <w:rFonts w:ascii="Verdana" w:eastAsia="Times New Roman" w:hAnsi="Verdana"/>
          <w:sz w:val="18"/>
          <w:szCs w:val="18"/>
        </w:rPr>
        <w:t>. W.W. Norton &amp; Company, New York - London. ISBN-13: 978 0 393 70457 0</w:t>
      </w:r>
    </w:p>
    <w:p w14:paraId="0A8A5F6E" w14:textId="77777777" w:rsidR="00000000" w:rsidRDefault="00455A0E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Vermetten, E., </w:t>
      </w:r>
      <w:proofErr w:type="spellStart"/>
      <w:r>
        <w:rPr>
          <w:rFonts w:ascii="Verdana" w:eastAsia="Times New Roman" w:hAnsi="Verdana"/>
          <w:sz w:val="18"/>
          <w:szCs w:val="18"/>
        </w:rPr>
        <w:t>Kleber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R. &amp; Van der Hart, O. (2020). </w:t>
      </w:r>
      <w:r>
        <w:rPr>
          <w:rStyle w:val="Nadruk"/>
          <w:rFonts w:ascii="Verdana" w:eastAsia="Times New Roman" w:hAnsi="Verdana"/>
          <w:sz w:val="18"/>
          <w:szCs w:val="18"/>
        </w:rPr>
        <w:t>Handboek Posttraumatische stressstoornissen</w:t>
      </w:r>
      <w:r>
        <w:rPr>
          <w:rFonts w:ascii="Verdana" w:eastAsia="Times New Roman" w:hAnsi="Verdana"/>
          <w:sz w:val="18"/>
          <w:szCs w:val="18"/>
        </w:rPr>
        <w:t>. De Tijdstroom Uitgeverij. ISBN: 9789024432554</w:t>
      </w:r>
    </w:p>
    <w:p w14:paraId="797BBDAC" w14:textId="77777777" w:rsidR="00000000" w:rsidRDefault="00455A0E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Lacoboni</w:t>
      </w:r>
      <w:proofErr w:type="spellEnd"/>
      <w:r>
        <w:rPr>
          <w:rFonts w:ascii="Verdana" w:eastAsia="Times New Roman" w:hAnsi="Verdana"/>
          <w:sz w:val="18"/>
          <w:szCs w:val="18"/>
        </w:rPr>
        <w:t>,</w:t>
      </w:r>
      <w:r>
        <w:rPr>
          <w:rFonts w:ascii="Verdana" w:eastAsia="Times New Roman" w:hAnsi="Verdana"/>
          <w:sz w:val="18"/>
          <w:szCs w:val="18"/>
        </w:rPr>
        <w:t xml:space="preserve"> M. (2008. </w:t>
      </w:r>
      <w:r>
        <w:rPr>
          <w:rStyle w:val="Nadruk"/>
          <w:rFonts w:ascii="Verdana" w:eastAsia="Times New Roman" w:hAnsi="Verdana"/>
          <w:sz w:val="18"/>
          <w:szCs w:val="18"/>
        </w:rPr>
        <w:t>Het spiegelende brein</w:t>
      </w:r>
      <w:r>
        <w:rPr>
          <w:rFonts w:ascii="Verdana" w:eastAsia="Times New Roman" w:hAnsi="Verdana"/>
          <w:sz w:val="18"/>
          <w:szCs w:val="18"/>
        </w:rPr>
        <w:t xml:space="preserve">. Uitgeverij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; ISBN-13: 978 90 5712 276 7</w:t>
      </w:r>
    </w:p>
    <w:p w14:paraId="1B2870F7" w14:textId="2FF994E6" w:rsidR="00000000" w:rsidRDefault="00455A0E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Uiterlijk vijf weken voor de startdatum word je geïnformeerd over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</w:t>
      </w:r>
      <w:r>
        <w:rPr>
          <w:rFonts w:ascii="Verdana" w:eastAsia="Times New Roman" w:hAnsi="Verdana"/>
          <w:sz w:val="18"/>
          <w:szCs w:val="18"/>
        </w:rPr>
        <w:t xml:space="preserve">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FEC"/>
    <w:multiLevelType w:val="multilevel"/>
    <w:tmpl w:val="223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42C37"/>
    <w:multiLevelType w:val="multilevel"/>
    <w:tmpl w:val="055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52FD6"/>
    <w:multiLevelType w:val="multilevel"/>
    <w:tmpl w:val="CDC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A3DFE"/>
    <w:multiLevelType w:val="multilevel"/>
    <w:tmpl w:val="D5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0E"/>
    <w:rsid w:val="0045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B5A66"/>
  <w15:chartTrackingRefBased/>
  <w15:docId w15:val="{5A7F2B3C-E2E6-4BE1-973B-17C4F970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customStyle="1" w:styleId="quotequote">
    <w:name w:val="quote__quote"/>
    <w:basedOn w:val="Standaard"/>
    <w:pPr>
      <w:spacing w:before="100" w:beforeAutospacing="1" w:after="100" w:afterAutospacing="1"/>
    </w:pPr>
  </w:style>
  <w:style w:type="character" w:styleId="HTML-citaat">
    <w:name w:val="HTML Cite"/>
    <w:basedOn w:val="Standaardalinea-lettertype"/>
    <w:uiPriority w:val="99"/>
    <w:semiHidden/>
    <w:unhideWhenUsed/>
    <w:rPr>
      <w:i/>
      <w:iCs/>
    </w:rPr>
  </w:style>
  <w:style w:type="paragraph" w:customStyle="1" w:styleId="quotedate">
    <w:name w:val="quote__date"/>
    <w:basedOn w:val="Standaard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2021-11-03T14:28:00Z</dcterms:created>
  <dcterms:modified xsi:type="dcterms:W3CDTF">2021-11-03T14:28:00Z</dcterms:modified>
</cp:coreProperties>
</file>