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9B9E" w14:textId="77777777" w:rsidR="00000000" w:rsidRDefault="008E6AC2">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75F27147" wp14:editId="70F09CC3">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5288490A" w14:textId="6F8C138C" w:rsidR="00000000" w:rsidRDefault="008E6AC2" w:rsidP="008E6AC2">
      <w:pPr>
        <w:divId w:val="1029768158"/>
        <w:rPr>
          <w:rFonts w:ascii="Verdana" w:hAnsi="Verdana"/>
          <w:sz w:val="18"/>
          <w:szCs w:val="18"/>
        </w:rPr>
      </w:pPr>
      <w:r>
        <w:rPr>
          <w:rFonts w:ascii="Verdana" w:eastAsia="Times New Roman" w:hAnsi="Verdana"/>
          <w:b/>
          <w:bCs/>
          <w:sz w:val="18"/>
          <w:szCs w:val="18"/>
        </w:rPr>
        <w:t>EMDR bij mensen met autisme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Durf het aan!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Mensen met een autismespectrumstoornis (ASS) zijn extra kwetsbaar voor trauma. EMDR kan ook bij hen klachten door onverwerkte nare herinneringen opheffen. Na </w:t>
      </w:r>
      <w:r>
        <w:rPr>
          <w:rFonts w:ascii="Verdana" w:eastAsia="Times New Roman" w:hAnsi="Verdana"/>
          <w:b/>
          <w:bCs/>
          <w:sz w:val="18"/>
          <w:szCs w:val="18"/>
        </w:rPr>
        <w:t>deze cursus weet je wanneer en hoe je EMDR kunt toepassen bij mensen met ASS. Je weet hoe je inspeelt op aan ASS-gerelateerde betekenis- en prikkelverwerkingsproblemen en hebt inzicht in hoe je het netwerk van de cliënt bij de behandeling kunt betrekken.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Mensen met een autismespectrumstoornis (ASS) zijn door hun typische sociaal-emotionele, communicatieve en sensorische problemen extra kwetsbaar voor omgevingsinvloeden. Ze zijn vaak een gemakkelijk slachtoffer van pesterijen en allerlei vormen van misbrui</w:t>
      </w:r>
      <w:r>
        <w:rPr>
          <w:rFonts w:ascii="Verdana" w:hAnsi="Verdana"/>
          <w:sz w:val="18"/>
          <w:szCs w:val="18"/>
        </w:rPr>
        <w:t>k. Ze kunnen natuurlijk ook andere schokkende gebeurtenissen meemaken in hun leven. Door sensorische overgevoeligheden kunnen zowel externe als interne prikkels eerder als traumatiserend worden ervaren. Verschillende symptomen van posttraumatische stress v</w:t>
      </w:r>
      <w:r>
        <w:rPr>
          <w:rFonts w:ascii="Verdana" w:hAnsi="Verdana"/>
          <w:sz w:val="18"/>
          <w:szCs w:val="18"/>
        </w:rPr>
        <w:t>ertonen overlap met ASS symptomen. Daardoor worden PTSS en andere vormen van psychopathologie, die aan ingrijpende gebeurtenissen kunnen zijn gerelateerd zoals angst -en stemmingsstoornissen, bij deze doelgroep vaak niet onderkend en dus ook niet behandeld</w:t>
      </w:r>
      <w:r>
        <w:rPr>
          <w:rFonts w:ascii="Verdana" w:hAnsi="Verdana"/>
          <w:sz w:val="18"/>
          <w:szCs w:val="18"/>
        </w:rPr>
        <w:t xml:space="preserve"> ondanks de hoge lijdensdruk. Als de problematiek wel wordt onderkend zijn therapeuten vaak terughoudend met behandelen uit angst voor hertraumatisering of andere averechtse effecten. En als ze wel gaan behandelen lukt het niet altijd met de standaard werk</w:t>
      </w:r>
      <w:r>
        <w:rPr>
          <w:rFonts w:ascii="Verdana" w:hAnsi="Verdana"/>
          <w:sz w:val="18"/>
          <w:szCs w:val="18"/>
        </w:rPr>
        <w:t xml:space="preserve">wijze. Eye Movement Desensitisation and Reprocessing (EMDR) kan klachten opheffen die in stand worden gehouden door onverwerkte nare herinneringen aan wat zij zelf hebben meegemaakt maar ook intense en belemmerende angsten wegnemen die het gevolg zijn van </w:t>
      </w:r>
      <w:r>
        <w:rPr>
          <w:rFonts w:ascii="Verdana" w:hAnsi="Verdana"/>
          <w:sz w:val="18"/>
          <w:szCs w:val="18"/>
        </w:rPr>
        <w:t>wat ze hebben gehoord of gezien van anderen.</w:t>
      </w:r>
    </w:p>
    <w:p w14:paraId="5166F5D9" w14:textId="6BD6C30A" w:rsidR="00000000" w:rsidRDefault="008E6AC2">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In deze cursus ontdek je de brede toepassingsmogelijkheden van EMDR bij mensen met ASS, al dan niet in combinatie met een laag IQ. Tevens maak je kennis met tips en trics om in te spelen op aan ASS-gerela</w:t>
      </w:r>
      <w:r>
        <w:rPr>
          <w:rFonts w:ascii="Verdana" w:eastAsia="Times New Roman" w:hAnsi="Verdana"/>
          <w:sz w:val="18"/>
          <w:szCs w:val="18"/>
        </w:rPr>
        <w:t>teerde betekenis- en prikkelverwerkingsproblemen en met verschillende mogelijkheden om het netwerk van de cliënt bij de behandeling te betrekken. Ook leer je hoe je met behulp van de DITS (Diagnostisch interview Trauma en Stressoren) de trauma’s en stresso</w:t>
      </w:r>
      <w:r>
        <w:rPr>
          <w:rFonts w:ascii="Verdana" w:eastAsia="Times New Roman" w:hAnsi="Verdana"/>
          <w:sz w:val="18"/>
          <w:szCs w:val="18"/>
        </w:rPr>
        <w:t>ren systematisch in kaart kunt brengen en tot een EMDR-conceptualisatie kunt komen.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Gz-psycholoog BIG, Psychotherapeut BIG, Klinisch psycholoog BIG, Klinisch neuropsycholoog BIG, Eerstelijnspsycholoog NIP, Kinder- en jeugdpsycholoog NIP, NVO Ort</w:t>
      </w:r>
      <w:r>
        <w:rPr>
          <w:rFonts w:ascii="Verdana" w:eastAsia="Times New Roman" w:hAnsi="Verdana"/>
          <w:sz w:val="18"/>
          <w:szCs w:val="18"/>
        </w:rPr>
        <w:t>hopedagoog-generalist, Gedragstherapeut en Psychiater</w:t>
      </w:r>
      <w:r>
        <w:rPr>
          <w:rFonts w:ascii="Verdana" w:eastAsia="Times New Roman" w:hAnsi="Verdana"/>
          <w:sz w:val="18"/>
          <w:szCs w:val="18"/>
        </w:rPr>
        <w:br/>
      </w:r>
      <w:r>
        <w:rPr>
          <w:rFonts w:ascii="Verdana" w:eastAsia="Times New Roman" w:hAnsi="Verdana"/>
          <w:sz w:val="18"/>
          <w:szCs w:val="18"/>
        </w:rPr>
        <w:br/>
        <w:t>Minimale vereiste is dat je de basiscursus EMDR hebt afgerond en supervisie hebt gehad, d.w.z. je voldoet minimaal aan de eisen voor toelating tot een door de VEN erkende vervolgopleiding EMDR. Voor me</w:t>
      </w:r>
      <w:r>
        <w:rPr>
          <w:rFonts w:ascii="Verdana" w:eastAsia="Times New Roman" w:hAnsi="Verdana"/>
          <w:sz w:val="18"/>
          <w:szCs w:val="18"/>
        </w:rPr>
        <w:t>er informatie: www.emdr.nl of vereniging@emdr.nl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mogelijkheden van EMDR in de behandeling van klachten die gerelateerd zijn aan ingrijpende gebeurtenissen worden aan de hand van theorie en praktijkvoorbeelden getoond. Er wordt verwacht dat je vi</w:t>
      </w:r>
      <w:r>
        <w:rPr>
          <w:rFonts w:ascii="Verdana" w:eastAsia="Times New Roman" w:hAnsi="Verdana"/>
          <w:sz w:val="18"/>
          <w:szCs w:val="18"/>
        </w:rPr>
        <w:t>deofragmenten van eigen casuïstiek inbrengt. De ingebrachte casuïstiek dient tevens als toets voor de cursus.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 Liesbeth Mevissen - Liesbeth Mevissen is orthopedagoog generalist, klinisch psycholoog en EMDR supervisor.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w:t>
      </w:r>
      <w:r>
        <w:rPr>
          <w:rFonts w:ascii="Verdana" w:eastAsia="Times New Roman" w:hAnsi="Verdana"/>
          <w:sz w:val="18"/>
          <w:szCs w:val="18"/>
        </w:rPr>
        <w:t>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Uiterlijk 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Meer informatie</w:t>
      </w:r>
      <w:r>
        <w:rPr>
          <w:rFonts w:ascii="Verdana" w:eastAsia="Times New Roman" w:hAnsi="Verdana"/>
          <w:sz w:val="18"/>
          <w:szCs w:val="18"/>
        </w:rPr>
        <w:br/>
        <w:t>Kijk op www.rinogroep.nl</w:t>
      </w:r>
      <w:r>
        <w:rPr>
          <w:rFonts w:ascii="Verdana" w:eastAsia="Times New Roman" w:hAnsi="Verdana"/>
          <w:sz w:val="18"/>
          <w:szCs w:val="18"/>
        </w:rPr>
        <w:t xml:space="preserve">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76DDE"/>
    <w:rsid w:val="008E6AC2"/>
    <w:rsid w:val="00A76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BF98D"/>
  <w15:chartTrackingRefBased/>
  <w15:docId w15:val="{9C373C0A-2B1A-4640-9D96-F02354F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06855">
      <w:marLeft w:val="0"/>
      <w:marRight w:val="0"/>
      <w:marTop w:val="0"/>
      <w:marBottom w:val="0"/>
      <w:divBdr>
        <w:top w:val="none" w:sz="0" w:space="0" w:color="auto"/>
        <w:left w:val="none" w:sz="0" w:space="0" w:color="auto"/>
        <w:bottom w:val="none" w:sz="0" w:space="0" w:color="auto"/>
        <w:right w:val="none" w:sz="0" w:space="0" w:color="auto"/>
      </w:divBdr>
      <w:divsChild>
        <w:div w:id="1869760963">
          <w:marLeft w:val="0"/>
          <w:marRight w:val="0"/>
          <w:marTop w:val="0"/>
          <w:marBottom w:val="0"/>
          <w:divBdr>
            <w:top w:val="none" w:sz="0" w:space="0" w:color="auto"/>
            <w:left w:val="none" w:sz="0" w:space="0" w:color="auto"/>
            <w:bottom w:val="none" w:sz="0" w:space="0" w:color="auto"/>
            <w:right w:val="none" w:sz="0" w:space="0" w:color="auto"/>
          </w:divBdr>
          <w:divsChild>
            <w:div w:id="10297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3082</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2021-03-26T09:19:00Z</dcterms:created>
  <dcterms:modified xsi:type="dcterms:W3CDTF">2021-03-26T09:19:00Z</dcterms:modified>
</cp:coreProperties>
</file>