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51A94" w14:textId="77777777" w:rsidR="009D468E" w:rsidRDefault="00AD4827">
      <w:pPr>
        <w:jc w:val="right"/>
        <w:rPr>
          <w:rFonts w:ascii="Verdana" w:eastAsia="Times New Roman" w:hAnsi="Verdana"/>
          <w:sz w:val="18"/>
          <w:szCs w:val="18"/>
        </w:rPr>
      </w:pPr>
      <w:r>
        <w:rPr>
          <w:rFonts w:ascii="Verdana" w:eastAsia="Times New Roman" w:hAnsi="Verdana"/>
          <w:noProof/>
          <w:sz w:val="18"/>
          <w:szCs w:val="18"/>
        </w:rPr>
        <w:drawing>
          <wp:inline distT="0" distB="0" distL="0" distR="0" wp14:anchorId="10C32C6D" wp14:editId="2A8BF8B6">
            <wp:extent cx="1085850" cy="5429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085850" cy="542925"/>
                    </a:xfrm>
                    <a:prstGeom prst="rect">
                      <a:avLst/>
                    </a:prstGeom>
                    <a:noFill/>
                    <a:ln>
                      <a:noFill/>
                    </a:ln>
                  </pic:spPr>
                </pic:pic>
              </a:graphicData>
            </a:graphic>
          </wp:inline>
        </w:drawing>
      </w:r>
    </w:p>
    <w:p w14:paraId="6A32F28D" w14:textId="0A1E2915" w:rsidR="009D468E" w:rsidRDefault="00AD4827" w:rsidP="00983567">
      <w:pPr>
        <w:divId w:val="1310088229"/>
        <w:rPr>
          <w:rFonts w:ascii="Verdana" w:hAnsi="Verdana"/>
          <w:sz w:val="18"/>
          <w:szCs w:val="18"/>
        </w:rPr>
      </w:pPr>
      <w:r>
        <w:rPr>
          <w:rFonts w:ascii="Verdana" w:eastAsia="Times New Roman" w:hAnsi="Verdana"/>
          <w:b/>
          <w:bCs/>
          <w:sz w:val="18"/>
          <w:szCs w:val="18"/>
        </w:rPr>
        <w:t>Diagnostiek en behandeling van gecompliceerde rouw</w:t>
      </w:r>
      <w:r>
        <w:rPr>
          <w:rFonts w:ascii="Verdana" w:eastAsia="Times New Roman" w:hAnsi="Verdana"/>
          <w:sz w:val="18"/>
          <w:szCs w:val="18"/>
        </w:rPr>
        <w:br/>
      </w:r>
      <w:r>
        <w:rPr>
          <w:rFonts w:ascii="Verdana" w:eastAsia="Times New Roman" w:hAnsi="Verdana"/>
          <w:sz w:val="18"/>
          <w:szCs w:val="18"/>
        </w:rPr>
        <w:br/>
      </w:r>
      <w:bookmarkStart w:id="0" w:name="_GoBack"/>
      <w:bookmarkEnd w:id="0"/>
      <w:r>
        <w:rPr>
          <w:rFonts w:ascii="Verdana" w:hAnsi="Verdana"/>
          <w:sz w:val="18"/>
          <w:szCs w:val="18"/>
        </w:rPr>
        <w:t>Een ernstig verlies slaat een wond, die gelukkig in de meeste gevallen vanzelf heelt: met vallen en opstaan, met afzien en volhouden, met steun van familie en vrienden. Maar soms heelt de wond niet: een persoonlijkheidsstoornis zit in de weg, de cliënt verdraagt de pijn nauwelijks, of kan er juist geen afstand van doen. De cliënt weigert het verlies onder ogen te zien, of de rouw vormt een alibi voor probleemgedrag. Een rouwproces kan op vele manieren ontsporen of stagneren; er is dan sprake van gecompliceerde rouw, en de behandelaar staat voor de opgave om het vastgelopen proces weer in beweging te krijgen. Deze cursus biedt handvatten voor het werken met deze problematiek.</w:t>
      </w:r>
    </w:p>
    <w:p w14:paraId="3F8FF552" w14:textId="77777777" w:rsidR="009D468E" w:rsidRDefault="00AD4827">
      <w:pPr>
        <w:rPr>
          <w:rFonts w:ascii="Verdana" w:eastAsia="Times New Roman" w:hAnsi="Verdana"/>
          <w:sz w:val="18"/>
          <w:szCs w:val="18"/>
        </w:rPr>
      </w:pPr>
      <w:r>
        <w:rPr>
          <w:rFonts w:ascii="Verdana" w:eastAsia="Times New Roman" w:hAnsi="Verdana"/>
          <w:sz w:val="18"/>
          <w:szCs w:val="18"/>
        </w:rPr>
        <w:br/>
      </w:r>
      <w:r>
        <w:rPr>
          <w:rFonts w:ascii="Verdana" w:eastAsia="Times New Roman" w:hAnsi="Verdana"/>
          <w:b/>
          <w:bCs/>
          <w:sz w:val="18"/>
          <w:szCs w:val="18"/>
        </w:rPr>
        <w:t>Doel</w:t>
      </w:r>
      <w:r>
        <w:rPr>
          <w:rFonts w:ascii="Verdana" w:eastAsia="Times New Roman" w:hAnsi="Verdana"/>
          <w:sz w:val="18"/>
          <w:szCs w:val="18"/>
        </w:rPr>
        <w:br/>
        <w:t>Je wordt vertrouwd gemaakt met de psychodynamiek van de verschillende vormen van gecompliceerde rouw. Vanuit een theoretisch kader leer je de verschillende patronen herkennen, plaatsen en behandelen. Voor ieder van de verschillende vormen van gecompliceerde rouw worden specifieke behandelstrategie'n besproken. Er zal ook steeds aandacht zijn voor de therapeutische relatie en de grondhouding van de therapeut.</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sz w:val="18"/>
          <w:szCs w:val="18"/>
        </w:rPr>
        <w:t>Doelgroep</w:t>
      </w:r>
      <w:r>
        <w:rPr>
          <w:rFonts w:ascii="Verdana" w:eastAsia="Times New Roman" w:hAnsi="Verdana"/>
          <w:sz w:val="18"/>
          <w:szCs w:val="18"/>
        </w:rPr>
        <w:br/>
        <w:t>Gz-psycholoog BIG, Psychotherapeut BIG, Klinisch psycholoog BIG, Klinisch neuropsycholoog BIG, Psychiater en Arts</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sz w:val="18"/>
          <w:szCs w:val="18"/>
        </w:rPr>
        <w:t>Inhoud</w:t>
      </w:r>
      <w:r>
        <w:rPr>
          <w:rFonts w:ascii="Verdana" w:eastAsia="Times New Roman" w:hAnsi="Verdana"/>
          <w:sz w:val="18"/>
          <w:szCs w:val="18"/>
        </w:rPr>
        <w:br/>
        <w:t>De bijeenkomsten bestaan steeds uit een theoretisch en een praktisch gedeelte, waarin de deelnemers zich de besproken stof eigen maken.</w:t>
      </w:r>
      <w:r>
        <w:rPr>
          <w:rFonts w:ascii="Verdana" w:eastAsia="Times New Roman" w:hAnsi="Verdana"/>
          <w:sz w:val="18"/>
          <w:szCs w:val="18"/>
        </w:rPr>
        <w:br/>
      </w:r>
      <w:r>
        <w:rPr>
          <w:rFonts w:ascii="Verdana" w:eastAsia="Times New Roman" w:hAnsi="Verdana"/>
          <w:sz w:val="18"/>
          <w:szCs w:val="18"/>
        </w:rPr>
        <w:br/>
        <w:t>Je neemt kennis van basisconcepten en psychodynamiek van gecompliceerde rouw en diagnostiek van gecompliceerde rouw. Voor ieder van de verschillende vormen van gecompliceerde rouw worden specifieke behandelstrategieën besproken.</w:t>
      </w:r>
      <w:r>
        <w:rPr>
          <w:rFonts w:ascii="Verdana" w:eastAsia="Times New Roman" w:hAnsi="Verdana"/>
          <w:sz w:val="18"/>
          <w:szCs w:val="18"/>
        </w:rPr>
        <w:br/>
      </w:r>
      <w:r>
        <w:rPr>
          <w:rFonts w:ascii="Verdana" w:eastAsia="Times New Roman" w:hAnsi="Verdana"/>
          <w:sz w:val="18"/>
          <w:szCs w:val="18"/>
        </w:rPr>
        <w:br/>
        <w:t>Tevens is er aandacht voor casusconceptualisaties, behandeltechnieken en behandelstrategieën.</w:t>
      </w:r>
      <w:r>
        <w:rPr>
          <w:rFonts w:ascii="Verdana" w:eastAsia="Times New Roman" w:hAnsi="Verdana"/>
          <w:sz w:val="18"/>
          <w:szCs w:val="18"/>
        </w:rPr>
        <w:br/>
      </w:r>
      <w:r>
        <w:rPr>
          <w:rFonts w:ascii="Verdana" w:eastAsia="Times New Roman" w:hAnsi="Verdana"/>
          <w:sz w:val="18"/>
          <w:szCs w:val="18"/>
        </w:rPr>
        <w:br/>
        <w:t>Verschillende behandeltechnieken komen aan bod zoals: EMDR, imaginaire exposure, rituelen, metaforen, schrijfopdrachten, Gestalt, spirituele interventies; deze worden geoefend en/of gedemonstreerd.</w:t>
      </w:r>
      <w:r>
        <w:rPr>
          <w:rFonts w:ascii="Verdana" w:eastAsia="Times New Roman" w:hAnsi="Verdana"/>
          <w:sz w:val="18"/>
          <w:szCs w:val="18"/>
        </w:rPr>
        <w:br/>
      </w:r>
      <w:r>
        <w:rPr>
          <w:rFonts w:ascii="Verdana" w:eastAsia="Times New Roman" w:hAnsi="Verdana"/>
          <w:sz w:val="18"/>
          <w:szCs w:val="18"/>
        </w:rPr>
        <w:br/>
        <w:t>Er zal ook steeds aandacht zijn voor de therapeutische relatie en de grondhouding van de therapeut.</w:t>
      </w:r>
      <w:r>
        <w:rPr>
          <w:rFonts w:ascii="Verdana" w:eastAsia="Times New Roman" w:hAnsi="Verdana"/>
          <w:sz w:val="18"/>
          <w:szCs w:val="18"/>
        </w:rPr>
        <w:br/>
      </w:r>
      <w:r>
        <w:rPr>
          <w:rFonts w:ascii="Verdana" w:eastAsia="Times New Roman" w:hAnsi="Verdana"/>
          <w:sz w:val="18"/>
          <w:szCs w:val="18"/>
        </w:rPr>
        <w:br/>
        <w:t>Het theoretisch kader wordt tot leven gebracht en naar de praktijk vertaald d.m.v. verhalen, casusmateriaal, en praktische oefeningen.</w:t>
      </w:r>
      <w:r>
        <w:rPr>
          <w:rFonts w:ascii="Verdana" w:eastAsia="Times New Roman" w:hAnsi="Verdana"/>
          <w:sz w:val="18"/>
          <w:szCs w:val="18"/>
        </w:rPr>
        <w:br/>
      </w:r>
      <w:r>
        <w:rPr>
          <w:rFonts w:ascii="Verdana" w:eastAsia="Times New Roman" w:hAnsi="Verdana"/>
          <w:sz w:val="18"/>
          <w:szCs w:val="18"/>
        </w:rPr>
        <w:br/>
        <w:t>Er is volop ruimte voor het uitwisselen van materiaal en het inbrengen van eigen lastige casussen.</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sz w:val="18"/>
          <w:szCs w:val="18"/>
        </w:rPr>
        <w:t>Docent</w:t>
      </w:r>
      <w:r>
        <w:rPr>
          <w:rFonts w:ascii="Verdana" w:eastAsia="Times New Roman" w:hAnsi="Verdana"/>
          <w:sz w:val="18"/>
          <w:szCs w:val="18"/>
        </w:rPr>
        <w:br/>
        <w:t>drs. Joany Spierings - Gz-psycholoog/psychotherapeut. Werkzaam als teamleider Trauma en behandelcoördinator bij GGZ Oost Brabant</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sz w:val="18"/>
          <w:szCs w:val="18"/>
        </w:rPr>
        <w:t>Certificaat</w:t>
      </w:r>
      <w:r>
        <w:rPr>
          <w:rFonts w:ascii="Verdana" w:eastAsia="Times New Roman" w:hAnsi="Verdana"/>
          <w:sz w:val="18"/>
          <w:szCs w:val="18"/>
        </w:rPr>
        <w:br/>
        <w:t>Je ontvangt een certificaat indien je minimaal 90% aanwezig bent geweest en de cursus met goed gevolg hebt afgerond.</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sz w:val="18"/>
          <w:szCs w:val="18"/>
        </w:rPr>
        <w:t>Literatuur</w:t>
      </w:r>
      <w:r>
        <w:rPr>
          <w:rFonts w:ascii="Verdana" w:eastAsia="Times New Roman" w:hAnsi="Verdana"/>
          <w:sz w:val="18"/>
          <w:szCs w:val="18"/>
        </w:rPr>
        <w:br/>
        <w:t>Keijser, J. de, Boelen, P., Smid, G. Handboek traumatische rouw. Boom Uitgevers Amsterdam (2018). ISBN 9789024402847</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sz w:val="18"/>
          <w:szCs w:val="18"/>
        </w:rPr>
        <w:t>Meer informatie</w:t>
      </w:r>
      <w:r>
        <w:rPr>
          <w:rFonts w:ascii="Verdana" w:eastAsia="Times New Roman" w:hAnsi="Verdana"/>
          <w:sz w:val="18"/>
          <w:szCs w:val="18"/>
        </w:rPr>
        <w:br/>
        <w:t>Kijk op www.rinogroep.nl voor meer en actuele informatie of neem contact op met de infodesk via 030 230 84 50 of infodesk@rinogroep.nl.</w:t>
      </w:r>
    </w:p>
    <w:sectPr w:rsidR="009D468E">
      <w:pgSz w:w="12240" w:h="15840"/>
      <w:pgMar w:top="864" w:right="864" w:bottom="864" w:left="86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27"/>
    <w:rsid w:val="00983567"/>
    <w:rsid w:val="009D468E"/>
    <w:rsid w:val="00AD4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E4FD5"/>
  <w15:chartTrackingRefBased/>
  <w15:docId w15:val="{41701C82-68E9-412D-B84A-E4423A0C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Voettekst">
    <w:name w:val="footer"/>
    <w:basedOn w:val="Standaard"/>
    <w:link w:val="VoettekstChar"/>
    <w:uiPriority w:val="99"/>
    <w:semiHidden/>
    <w:unhideWhenUsed/>
    <w:pPr>
      <w:tabs>
        <w:tab w:val="center" w:pos="4320"/>
        <w:tab w:val="right" w:pos="8640"/>
      </w:tabs>
    </w:pPr>
    <w:rPr>
      <w:rFonts w:ascii="Arial" w:hAnsi="Arial" w:cs="Arial"/>
    </w:rPr>
  </w:style>
  <w:style w:type="character" w:customStyle="1" w:styleId="VoettekstChar">
    <w:name w:val="Voettekst Char"/>
    <w:basedOn w:val="Standaardalinea-lettertype"/>
    <w:link w:val="Voettekst"/>
    <w:uiPriority w:val="99"/>
    <w:semiHidden/>
    <w:rPr>
      <w:rFonts w:eastAsiaTheme="minorEastAsia"/>
      <w:sz w:val="24"/>
      <w:szCs w:val="24"/>
    </w:rPr>
  </w:style>
  <w:style w:type="paragraph" w:styleId="Koptekst">
    <w:name w:val="header"/>
    <w:basedOn w:val="Standaard"/>
    <w:link w:val="KoptekstChar"/>
    <w:uiPriority w:val="99"/>
    <w:semiHidden/>
    <w:unhideWhenUsed/>
    <w:pPr>
      <w:tabs>
        <w:tab w:val="center" w:pos="4320"/>
        <w:tab w:val="right" w:pos="8640"/>
      </w:tabs>
    </w:pPr>
    <w:rPr>
      <w:rFonts w:ascii="Arial" w:hAnsi="Arial" w:cs="Arial"/>
    </w:rPr>
  </w:style>
  <w:style w:type="character" w:customStyle="1" w:styleId="KoptekstChar">
    <w:name w:val="Koptekst Char"/>
    <w:basedOn w:val="Standaardalinea-lettertype"/>
    <w:link w:val="Koptekst"/>
    <w:uiPriority w:val="99"/>
    <w:semiHidden/>
    <w:rPr>
      <w:rFonts w:eastAsiaTheme="minorEastAsia"/>
      <w:sz w:val="24"/>
      <w:szCs w:val="24"/>
    </w:rPr>
  </w:style>
  <w:style w:type="paragraph" w:styleId="Normaalweb">
    <w:name w:val="Normal (Web)"/>
    <w:basedOn w:val="Standaard"/>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684785">
      <w:marLeft w:val="0"/>
      <w:marRight w:val="0"/>
      <w:marTop w:val="0"/>
      <w:marBottom w:val="0"/>
      <w:divBdr>
        <w:top w:val="none" w:sz="0" w:space="0" w:color="auto"/>
        <w:left w:val="none" w:sz="0" w:space="0" w:color="auto"/>
        <w:bottom w:val="none" w:sz="0" w:space="0" w:color="auto"/>
        <w:right w:val="none" w:sz="0" w:space="0" w:color="auto"/>
      </w:divBdr>
      <w:divsChild>
        <w:div w:id="532108498">
          <w:marLeft w:val="0"/>
          <w:marRight w:val="0"/>
          <w:marTop w:val="0"/>
          <w:marBottom w:val="0"/>
          <w:divBdr>
            <w:top w:val="none" w:sz="0" w:space="0" w:color="auto"/>
            <w:left w:val="none" w:sz="0" w:space="0" w:color="auto"/>
            <w:bottom w:val="none" w:sz="0" w:space="0" w:color="auto"/>
            <w:right w:val="none" w:sz="0" w:space="0" w:color="auto"/>
          </w:divBdr>
          <w:divsChild>
            <w:div w:id="13100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www.rinogroep.nl/assets/images/bg-mail.p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2440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PE Online export</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Online export</dc:title>
  <dc:subject/>
  <dc:creator>Caroline Sloos</dc:creator>
  <cp:keywords/>
  <dc:description/>
  <cp:lastModifiedBy>Anne Burer</cp:lastModifiedBy>
  <cp:revision>3</cp:revision>
  <dcterms:created xsi:type="dcterms:W3CDTF">2021-04-13T12:29:00Z</dcterms:created>
  <dcterms:modified xsi:type="dcterms:W3CDTF">2021-05-27T06:50:00Z</dcterms:modified>
</cp:coreProperties>
</file>