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B833" w14:textId="176268DD" w:rsidR="00B661A3" w:rsidRPr="007F5779" w:rsidRDefault="007F5779">
      <w:pPr>
        <w:rPr>
          <w:b/>
          <w:bCs/>
          <w:lang w:val="nl-NL"/>
        </w:rPr>
      </w:pPr>
      <w:r w:rsidRPr="007F5779">
        <w:rPr>
          <w:b/>
          <w:bCs/>
          <w:lang w:val="nl-NL"/>
        </w:rPr>
        <w:t>Onderbouwen uren Zelf Studie ReAttach Opleiding</w:t>
      </w:r>
    </w:p>
    <w:p w14:paraId="62ACC064" w14:textId="185DAA53" w:rsidR="009A7861" w:rsidRPr="009A7861" w:rsidRDefault="009A7861">
      <w:pPr>
        <w:rPr>
          <w:lang w:val="nl-NL"/>
        </w:rPr>
      </w:pPr>
    </w:p>
    <w:p w14:paraId="5C5BFE81" w14:textId="68EAD252" w:rsidR="009A7861" w:rsidRDefault="009A7861">
      <w:pPr>
        <w:rPr>
          <w:lang w:val="nl-NL"/>
        </w:rPr>
      </w:pPr>
      <w:r w:rsidRPr="009A7861">
        <w:rPr>
          <w:lang w:val="nl-NL"/>
        </w:rPr>
        <w:t>Van de cursisten wordt verwacht dat zij</w:t>
      </w:r>
      <w:r>
        <w:rPr>
          <w:lang w:val="nl-NL"/>
        </w:rPr>
        <w:t>:</w:t>
      </w:r>
    </w:p>
    <w:p w14:paraId="13938FF3" w14:textId="1F060FEE" w:rsidR="009A7861" w:rsidRDefault="009A7861">
      <w:pPr>
        <w:rPr>
          <w:lang w:val="nl-NL"/>
        </w:rPr>
      </w:pPr>
    </w:p>
    <w:p w14:paraId="44C6406B" w14:textId="1B5CC004" w:rsidR="007F5779" w:rsidRDefault="007F5779" w:rsidP="009A786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Zelfstandig d</w:t>
      </w:r>
      <w:r w:rsidR="009A7861">
        <w:rPr>
          <w:lang w:val="nl-NL"/>
        </w:rPr>
        <w:t>e literatuur bestuderen die op de literatuurlijst staat</w:t>
      </w:r>
      <w:r w:rsidR="0069389C">
        <w:rPr>
          <w:lang w:val="nl-NL"/>
        </w:rPr>
        <w:t>.</w:t>
      </w:r>
      <w:r w:rsidR="0069389C">
        <w:rPr>
          <w:lang w:val="nl-NL"/>
        </w:rPr>
        <w:br/>
        <w:t>Daarna wordt dit individueel online getoetst met de theoretische toets.</w:t>
      </w:r>
      <w:r w:rsidR="0069389C">
        <w:rPr>
          <w:lang w:val="nl-NL"/>
        </w:rPr>
        <w:br/>
        <w:t>Bij een onvoldoende resultaat bestaat er 1 herkansingsmogelijkheid (andere toets).</w:t>
      </w:r>
      <w:r>
        <w:rPr>
          <w:lang w:val="nl-NL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7F5779" w:rsidRPr="007F5779" w14:paraId="72FAF9B2" w14:textId="77777777" w:rsidTr="007F577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A22DBB" w14:textId="6F43DE19" w:rsidR="007F5779" w:rsidRDefault="007F5779" w:rsidP="007F577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2D5193"/>
                <w:lang w:val="nl-NL" w:eastAsia="nl-NL"/>
              </w:rPr>
            </w:pPr>
            <w:r w:rsidRPr="007F5779">
              <w:rPr>
                <w:rFonts w:ascii="Calibri" w:eastAsia="Times New Roman" w:hAnsi="Calibri" w:cs="Calibri"/>
                <w:color w:val="2D5193"/>
                <w:lang w:val="nl-NL" w:eastAsia="nl-NL"/>
              </w:rPr>
              <w:t xml:space="preserve">Verplichte </w:t>
            </w:r>
            <w:r w:rsidRPr="007F5779">
              <w:rPr>
                <w:rFonts w:ascii="Calibri" w:eastAsia="Times New Roman" w:hAnsi="Calibri" w:cs="Calibri"/>
                <w:color w:val="2D5193"/>
                <w:lang w:val="nl-NL" w:eastAsia="nl-NL"/>
              </w:rPr>
              <w:t xml:space="preserve">Literatuurlijst ReAttach Basisopleiding </w:t>
            </w:r>
          </w:p>
          <w:p w14:paraId="19AC53E7" w14:textId="1F1DE327" w:rsidR="00B46844" w:rsidRPr="007F5779" w:rsidRDefault="00B46844" w:rsidP="007F5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Nederlandstalig: 82 pagina’s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br/>
              <w:t>Engelse artikelen: 77 pagina’s</w:t>
            </w:r>
          </w:p>
          <w:p w14:paraId="2A11284D" w14:textId="77777777" w:rsidR="00B46844" w:rsidRDefault="007F5779" w:rsidP="00B46844">
            <w:pPr>
              <w:pStyle w:val="Bibliografie"/>
              <w:ind w:left="720" w:hanging="720"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>Bartholomeus, P (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2020) 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Als praten niet helpt... 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ReAttach</w:t>
            </w: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 . ReAttach Protocol 8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2 </w:t>
            </w:r>
            <w:proofErr w:type="spellStart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pagina’s</w:t>
            </w:r>
            <w:proofErr w:type="spellEnd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 </w:t>
            </w:r>
          </w:p>
          <w:p w14:paraId="6DAD1406" w14:textId="24714FDA" w:rsidR="00B46844" w:rsidRDefault="007F5779" w:rsidP="00B46844">
            <w:pPr>
              <w:pStyle w:val="Bibliografie"/>
              <w:ind w:left="720" w:hanging="720"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</w:pPr>
            <w:proofErr w:type="spellStart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Nederlandstalige</w:t>
            </w:r>
            <w:proofErr w:type="spellEnd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 ReAttach </w:t>
            </w:r>
            <w:proofErr w:type="spellStart"/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methodiek</w:t>
            </w:r>
            <w:proofErr w:type="spellEnd"/>
          </w:p>
          <w:p w14:paraId="1DCE63CC" w14:textId="091C7997" w:rsidR="00B46844" w:rsidRDefault="00B46844" w:rsidP="007F57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Ben-Sasson, A., Cermak, S.A., Orsmond, G.I. et al. (2007). Extreme sensory modulation behaviors in toddles with autism spectrum disorders. American Journal of Occupational Therapy. 2007; 61(5):584-592. </w:t>
            </w:r>
          </w:p>
          <w:p w14:paraId="1BDB0911" w14:textId="08D2E601" w:rsidR="00B46844" w:rsidRDefault="00B46844" w:rsidP="007F57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Lillas, C., TenPas, H., Crowley, C., and Spitzer, S.L. (2018). Improving regulation skills for increased participation for individuals with ASD, in Autism Across the Lifespan: A Comprehensive Occupational Therapy Approach, 4th Edn. Eds R. Watling and S. Spitzer (AOTA Press), 319-338.</w:t>
            </w:r>
          </w:p>
          <w:p w14:paraId="26C3AC03" w14:textId="20E86FC6" w:rsidR="00B46844" w:rsidRPr="00B46844" w:rsidRDefault="00B46844" w:rsidP="007F57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Pfeiffer, B., May-Benson, T.A., and Bodisonm S.C. (2018). State of the science of sensory integration research with children and youth. American Journal of Occupational Therapy 72, 7201170010pl1-7201170010p4.  Doi: 10.10.5014/ajot.2018.721003</w:t>
            </w:r>
          </w:p>
          <w:p w14:paraId="108ADDA6" w14:textId="70A2E659" w:rsidR="00B46844" w:rsidRPr="00B46844" w:rsidRDefault="00B46844" w:rsidP="00B46844">
            <w:pPr>
              <w:pStyle w:val="Normaalweb"/>
              <w:shd w:val="clear" w:color="auto" w:fill="FFFFFF"/>
              <w:rPr>
                <w:rFonts w:ascii="ArialMT" w:hAnsi="ArialMT"/>
                <w:sz w:val="16"/>
                <w:szCs w:val="16"/>
                <w:lang w:val="en-US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>Schaaf, R.C., Dumont, R.L., Arbesman, M., and May-Benson, T.A. (2018) Efficacy of occupational therapy using ayres sensory integration: a systematic review. American Journal for Occupational Therapy 72, 7201190010p1-7201190010p10. Doi: 10.5014/ajot/2018.028431.</w:t>
            </w:r>
          </w:p>
          <w:p w14:paraId="422CFB7E" w14:textId="15F9666C" w:rsidR="007F5779" w:rsidRDefault="007F5779" w:rsidP="007F57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</w:pP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Weerkamp Bartholomeus, P. (2015). 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>ReAttach a new schema therapy for adults and children? part I adults. Clinical Neuropsychiatry, 12(2), 9-13.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  <w:t>Weerkamp Bartholomeus, P. J. (2015). ReAttach a new schema therapy for adults and children? part II children. Clinical Neuropsychiatry, 12(2), 14-17.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br/>
              <w:t xml:space="preserve">Weerkamp Bartholomeus, P. (2015). ReAttach a multimodal intervention for ASD? </w:t>
            </w: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Clinical Neuropsychiatry, 12(2), 18-22. </w:t>
            </w:r>
          </w:p>
          <w:p w14:paraId="1AFB3887" w14:textId="4869D4D8" w:rsidR="007F5779" w:rsidRPr="007F5779" w:rsidRDefault="007F5779" w:rsidP="007F57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  <w:r w:rsidRPr="007F5779"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  <w:t xml:space="preserve">Weerkamp Bartholomeus, P. (2015). ReAttach the Exciting Development of a Promising Intervention for Autism Spectrum Disorders. In P. M. Fitzgerald (Ed.), Autism Spectrum Disorder - recent advances (pp. http://www.intechopen.com/books/autism-spectrum-disorder-recent-advances/reattach-the-exciting- development-of-a-promising-intervention-for-autism-spectrum-disorders). Intech. </w:t>
            </w:r>
          </w:p>
          <w:p w14:paraId="0D7866C8" w14:textId="5F0BB868" w:rsidR="00B46844" w:rsidRPr="00B46844" w:rsidRDefault="007F5779" w:rsidP="007F5779">
            <w:pPr>
              <w:pStyle w:val="Normaalweb"/>
              <w:shd w:val="clear" w:color="auto" w:fill="FFFFFF"/>
              <w:rPr>
                <w:rFonts w:ascii="ArialMT" w:hAnsi="ArialMT"/>
                <w:color w:val="0F54CC"/>
                <w:sz w:val="16"/>
                <w:szCs w:val="16"/>
                <w:lang w:val="en-US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>Weerkamp-Bartholomeus et al. (2020) Randomized comparison of W.A.R.A. (Wiring Affect with ReAttach) versus distraction: a pilot study assessing the efficacy of an ultrafast transdiagnostic intervention.</w:t>
            </w: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br/>
            </w:r>
            <w:r w:rsidRPr="007F5779">
              <w:rPr>
                <w:rFonts w:ascii="ArialMT" w:hAnsi="ArialMT"/>
                <w:color w:val="0F54CC"/>
                <w:sz w:val="16"/>
                <w:szCs w:val="16"/>
                <w:lang w:val="en-US"/>
              </w:rPr>
              <w:t xml:space="preserve">https://doi.org/10.1016/j.heliyon.2020.e04660 </w:t>
            </w:r>
          </w:p>
          <w:p w14:paraId="3F7F4816" w14:textId="10FD399B" w:rsidR="00B46844" w:rsidRPr="00B46844" w:rsidRDefault="007F5779" w:rsidP="007F5779">
            <w:pPr>
              <w:pStyle w:val="Normaalweb"/>
              <w:shd w:val="clear" w:color="auto" w:fill="FFFFFF"/>
              <w:rPr>
                <w:rFonts w:ascii="ArialMT" w:hAnsi="ArialMT"/>
                <w:color w:val="0F54CC"/>
                <w:sz w:val="16"/>
                <w:szCs w:val="16"/>
                <w:lang w:val="en-US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 xml:space="preserve">Weerkamp-Bartholomeus et al. (2020) W.A.R.A. (Wiring Affect with ReAttach) provided by remote training: a first aid psychological intervention? </w:t>
            </w:r>
            <w:r w:rsidRPr="007F5779">
              <w:rPr>
                <w:rFonts w:ascii="Gautami" w:hAnsi="Gautami" w:cs="Gautami"/>
                <w:sz w:val="16"/>
                <w:szCs w:val="16"/>
                <w:lang w:val="en-US"/>
              </w:rPr>
              <w:t>​</w:t>
            </w:r>
            <w:r w:rsidRPr="007F5779">
              <w:rPr>
                <w:rFonts w:ascii="ArialMT" w:hAnsi="ArialMT"/>
                <w:color w:val="0F54CC"/>
                <w:sz w:val="16"/>
                <w:szCs w:val="16"/>
                <w:lang w:val="en-US"/>
              </w:rPr>
              <w:t xml:space="preserve">https://doi.org/10.36131/CN20200217 </w:t>
            </w:r>
          </w:p>
          <w:p w14:paraId="4CAA5F51" w14:textId="5D9798F8" w:rsidR="007F5779" w:rsidRPr="00B46844" w:rsidRDefault="007F5779" w:rsidP="007F5779">
            <w:pPr>
              <w:pStyle w:val="Normaalweb"/>
              <w:shd w:val="clear" w:color="auto" w:fill="FFFFFF"/>
              <w:rPr>
                <w:rFonts w:ascii="ArialMT" w:hAnsi="ArialMT"/>
                <w:color w:val="0F54CC"/>
                <w:sz w:val="16"/>
                <w:szCs w:val="16"/>
              </w:rPr>
            </w:pPr>
            <w:r w:rsidRPr="007F5779">
              <w:rPr>
                <w:rFonts w:ascii="ArialMT" w:hAnsi="ArialMT"/>
                <w:sz w:val="16"/>
                <w:szCs w:val="16"/>
                <w:lang w:val="en-US"/>
              </w:rPr>
              <w:t xml:space="preserve">Weerkamp-Bartholomeus et al. (2021) Remote W.A.R.A. compare to face-to-face W.A.R.A.: a pilot study. </w:t>
            </w:r>
            <w:r w:rsidRPr="007F5779">
              <w:rPr>
                <w:rFonts w:ascii="ArialMT" w:hAnsi="ArialMT"/>
                <w:sz w:val="16"/>
                <w:szCs w:val="16"/>
              </w:rPr>
              <w:t xml:space="preserve">Frontiers in Psychology. </w:t>
            </w:r>
            <w:r w:rsidRPr="007F5779">
              <w:rPr>
                <w:rFonts w:ascii="Gautami" w:hAnsi="Gautami" w:cs="Gautami"/>
                <w:sz w:val="16"/>
                <w:szCs w:val="16"/>
              </w:rPr>
              <w:t>​</w:t>
            </w:r>
            <w:r w:rsidRPr="007F5779">
              <w:rPr>
                <w:rFonts w:ascii="ArialMT" w:hAnsi="ArialMT"/>
                <w:color w:val="0F54CC"/>
                <w:sz w:val="16"/>
                <w:szCs w:val="16"/>
              </w:rPr>
              <w:t xml:space="preserve">https://doi.org/10.3389/fpsyg.200.620027 </w:t>
            </w:r>
          </w:p>
          <w:p w14:paraId="5CC0FEC7" w14:textId="34DDF5D7" w:rsidR="007F5779" w:rsidRPr="007F5779" w:rsidRDefault="007F5779" w:rsidP="007F577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212121"/>
                <w:sz w:val="16"/>
                <w:szCs w:val="16"/>
                <w:lang w:val="nl-NL" w:eastAsia="nl-NL"/>
              </w:rPr>
            </w:pPr>
          </w:p>
        </w:tc>
      </w:tr>
      <w:tr w:rsidR="007F5779" w:rsidRPr="007F5779" w14:paraId="34C58A9A" w14:textId="77777777" w:rsidTr="007F577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5C4539" w14:textId="1BD43BA3" w:rsidR="007F5779" w:rsidRDefault="007F5779" w:rsidP="007F57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en-US" w:eastAsia="nl-NL"/>
              </w:rPr>
            </w:pPr>
          </w:p>
          <w:p w14:paraId="38B66D77" w14:textId="34C397B3" w:rsidR="00B46844" w:rsidRPr="00B46844" w:rsidRDefault="00B46844" w:rsidP="007F57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</w:pPr>
            <w:r w:rsidRPr="00B46844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>Theoretische toets wordt online gemaakt</w:t>
            </w: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 en bestaat uit meerkeuze vragen met antwoorden die slecht, goed, beter of het beste zijn. De afname van de theoretische toets bedraagt gemiddeld 45 </w:t>
            </w:r>
            <w:r w:rsidR="009E5708">
              <w:rPr>
                <w:rFonts w:ascii="Arial" w:eastAsia="Times New Roman" w:hAnsi="Arial" w:cs="Arial"/>
                <w:color w:val="212121"/>
                <w:sz w:val="16"/>
                <w:szCs w:val="16"/>
                <w:lang w:val="nl-NL" w:eastAsia="nl-NL"/>
              </w:rPr>
              <w:t xml:space="preserve">tot 60 minuten. </w:t>
            </w:r>
          </w:p>
          <w:p w14:paraId="214A26F7" w14:textId="2A1A9F02" w:rsidR="007F5779" w:rsidRPr="007F5779" w:rsidRDefault="007F5779" w:rsidP="007F5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7F5779" w:rsidRPr="007F5779" w14:paraId="079B0C9E" w14:textId="77777777" w:rsidTr="007F577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630A9E" w14:textId="77777777" w:rsidR="007F5779" w:rsidRPr="007F5779" w:rsidRDefault="007F5779" w:rsidP="007F5779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</w:tbl>
    <w:p w14:paraId="469DEF35" w14:textId="4A059DDD" w:rsidR="009A7861" w:rsidRPr="00B46844" w:rsidRDefault="007F5779" w:rsidP="007F5779">
      <w:pPr>
        <w:pStyle w:val="Lijstalinea"/>
        <w:rPr>
          <w:lang w:val="nl-NL"/>
        </w:rPr>
      </w:pPr>
      <w:r w:rsidRPr="00B46844">
        <w:rPr>
          <w:lang w:val="nl-NL"/>
        </w:rPr>
        <w:br/>
      </w:r>
    </w:p>
    <w:p w14:paraId="14014611" w14:textId="77777777" w:rsidR="00B46844" w:rsidRDefault="009A7861" w:rsidP="009A786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>25 ReAttach sessies voorbereiden en daarvoor behandelplannen schrijven</w:t>
      </w:r>
      <w:r w:rsidR="00B46844">
        <w:rPr>
          <w:lang w:val="nl-NL"/>
        </w:rPr>
        <w:br/>
      </w:r>
    </w:p>
    <w:p w14:paraId="3D32CBC1" w14:textId="3A07D40C" w:rsidR="009E5708" w:rsidRDefault="00B46844" w:rsidP="00B46844">
      <w:pPr>
        <w:pStyle w:val="Lijstalinea"/>
        <w:rPr>
          <w:lang w:val="nl-NL"/>
        </w:rPr>
      </w:pPr>
      <w:r>
        <w:rPr>
          <w:lang w:val="nl-NL"/>
        </w:rPr>
        <w:t xml:space="preserve">Van de cursist worden uitgewerkte ReAttach protocollen verwacht van 5 cursisten die ieder 5 ReAttach sessies krijgen aangeboden. De tijd om het protocol uit te werken bedraagt gemiddeld </w:t>
      </w:r>
      <w:r w:rsidR="009E5708">
        <w:rPr>
          <w:lang w:val="nl-NL"/>
        </w:rPr>
        <w:t xml:space="preserve">50 </w:t>
      </w:r>
      <w:r>
        <w:rPr>
          <w:lang w:val="nl-NL"/>
        </w:rPr>
        <w:t xml:space="preserve">minuten = </w:t>
      </w:r>
      <w:r w:rsidR="009E5708">
        <w:rPr>
          <w:lang w:val="nl-NL"/>
        </w:rPr>
        <w:t>20</w:t>
      </w:r>
      <w:r>
        <w:rPr>
          <w:lang w:val="nl-NL"/>
        </w:rPr>
        <w:t xml:space="preserve"> uur</w:t>
      </w:r>
    </w:p>
    <w:p w14:paraId="105EE8A3" w14:textId="60BF6EEC" w:rsidR="009A7861" w:rsidRDefault="00B46844" w:rsidP="00B46844">
      <w:pPr>
        <w:pStyle w:val="Lijstalinea"/>
        <w:rPr>
          <w:lang w:val="nl-NL"/>
        </w:rPr>
      </w:pPr>
      <w:r>
        <w:rPr>
          <w:lang w:val="nl-NL"/>
        </w:rPr>
        <w:br/>
      </w:r>
    </w:p>
    <w:p w14:paraId="021D5EFA" w14:textId="4B11B7A1" w:rsidR="009A7861" w:rsidRDefault="0069389C" w:rsidP="009A786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Reflectie verslag (</w:t>
      </w:r>
      <w:r w:rsidR="009E5708">
        <w:rPr>
          <w:lang w:val="nl-NL"/>
        </w:rPr>
        <w:t>7.5</w:t>
      </w:r>
      <w:r>
        <w:rPr>
          <w:lang w:val="nl-NL"/>
        </w:rPr>
        <w:t xml:space="preserve"> uur)</w:t>
      </w:r>
      <w:r w:rsidR="00B46844">
        <w:rPr>
          <w:lang w:val="nl-NL"/>
        </w:rPr>
        <w:br/>
      </w:r>
      <w:r w:rsidR="00B46844">
        <w:rPr>
          <w:lang w:val="nl-NL"/>
        </w:rPr>
        <w:br/>
        <w:t xml:space="preserve">Het is de bedoeling dat de cursist op de ReAttach sessies reflecteert en daar een verslag van schrijft per </w:t>
      </w:r>
      <w:r>
        <w:rPr>
          <w:lang w:val="nl-NL"/>
        </w:rPr>
        <w:t xml:space="preserve">cliënt. </w:t>
      </w:r>
      <w:r w:rsidR="00B46844">
        <w:rPr>
          <w:lang w:val="nl-NL"/>
        </w:rPr>
        <w:t xml:space="preserve"> Er dient minimaal beschreven te zijn:</w:t>
      </w:r>
    </w:p>
    <w:p w14:paraId="12DFCBEB" w14:textId="1E0BAD18" w:rsidR="00B46844" w:rsidRDefault="00B46844" w:rsidP="00B4684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De doelstellingen van cliënt</w:t>
      </w:r>
    </w:p>
    <w:p w14:paraId="16C4A975" w14:textId="60BB2B48" w:rsidR="00B46844" w:rsidRDefault="00B46844" w:rsidP="00B4684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Hoe de ReAttach therapeut de methode systemisch in heeft gezet</w:t>
      </w:r>
    </w:p>
    <w:p w14:paraId="07784F83" w14:textId="3CE4BF24" w:rsidR="00B46844" w:rsidRDefault="00B46844" w:rsidP="00B4684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Welke keuzes er per sessie gemaakt zijn in het protocol</w:t>
      </w:r>
    </w:p>
    <w:p w14:paraId="2E859D93" w14:textId="4DF33B8A" w:rsidR="00B46844" w:rsidRDefault="0069389C" w:rsidP="00B4684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Op wat voor manier de therapeut gezorgd heeft voor maatwerk qua afstemming</w:t>
      </w:r>
    </w:p>
    <w:p w14:paraId="073FFD1F" w14:textId="362E6D12" w:rsidR="0069389C" w:rsidRDefault="0069389C" w:rsidP="00B4684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Hoe de therapeut / cliënt relatie werd ervaren</w:t>
      </w:r>
    </w:p>
    <w:p w14:paraId="2E1B0D07" w14:textId="71FD3636" w:rsidR="0069389C" w:rsidRDefault="0069389C" w:rsidP="00B4684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Wat de ervaring van de therapeut met ReAttach is. Zijn er technische vragen?</w:t>
      </w:r>
    </w:p>
    <w:p w14:paraId="1A159E72" w14:textId="6CDB4E84" w:rsidR="0069389C" w:rsidRDefault="0069389C" w:rsidP="0069389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Hoe de cliënt de sessies heeft ervaren</w:t>
      </w:r>
    </w:p>
    <w:p w14:paraId="615BCC0C" w14:textId="4339987D" w:rsidR="009A7861" w:rsidRDefault="009A7861" w:rsidP="009A7861">
      <w:pPr>
        <w:rPr>
          <w:lang w:val="nl-NL"/>
        </w:rPr>
      </w:pPr>
    </w:p>
    <w:p w14:paraId="139BD485" w14:textId="5C34B560" w:rsidR="009A7861" w:rsidRDefault="009A7861" w:rsidP="009A7861">
      <w:pPr>
        <w:rPr>
          <w:lang w:val="nl-NL"/>
        </w:rPr>
      </w:pPr>
    </w:p>
    <w:p w14:paraId="6D1F1384" w14:textId="34F9E4F3" w:rsidR="009A7861" w:rsidRPr="009E5708" w:rsidRDefault="0069389C" w:rsidP="009A7861">
      <w:pPr>
        <w:rPr>
          <w:b/>
          <w:bCs/>
          <w:lang w:val="nl-NL"/>
        </w:rPr>
      </w:pPr>
      <w:r w:rsidRPr="009E5708">
        <w:rPr>
          <w:b/>
          <w:bCs/>
          <w:lang w:val="nl-NL"/>
        </w:rPr>
        <w:t xml:space="preserve">Rekening houdend </w:t>
      </w:r>
      <w:r w:rsidR="009E5708" w:rsidRPr="009E5708">
        <w:rPr>
          <w:b/>
          <w:bCs/>
          <w:lang w:val="nl-NL"/>
        </w:rPr>
        <w:t>het theoretisch en praktisch examen</w:t>
      </w:r>
      <w:r w:rsidRPr="009E5708">
        <w:rPr>
          <w:b/>
          <w:bCs/>
          <w:lang w:val="nl-NL"/>
        </w:rPr>
        <w:t xml:space="preserve"> kom ik tot de volgende berekening van de </w:t>
      </w:r>
      <w:r w:rsidR="009E5708" w:rsidRPr="009E5708">
        <w:rPr>
          <w:b/>
          <w:bCs/>
          <w:lang w:val="nl-NL"/>
        </w:rPr>
        <w:t xml:space="preserve">112 </w:t>
      </w:r>
      <w:r w:rsidRPr="009E5708">
        <w:rPr>
          <w:b/>
          <w:bCs/>
          <w:lang w:val="nl-NL"/>
        </w:rPr>
        <w:t>uren zelfstudie:</w:t>
      </w:r>
    </w:p>
    <w:p w14:paraId="18E1FB7D" w14:textId="3079B8C9" w:rsidR="0069389C" w:rsidRDefault="0069389C" w:rsidP="009A7861">
      <w:pPr>
        <w:rPr>
          <w:lang w:val="nl-NL"/>
        </w:rPr>
      </w:pPr>
    </w:p>
    <w:p w14:paraId="48B2D0B5" w14:textId="6BDEEBE0" w:rsidR="0069389C" w:rsidRDefault="0069389C" w:rsidP="009A7861">
      <w:pPr>
        <w:rPr>
          <w:lang w:val="nl-NL"/>
        </w:rPr>
      </w:pPr>
      <w:r>
        <w:rPr>
          <w:lang w:val="nl-NL"/>
        </w:rPr>
        <w:t>82 pagina’s Nederlandstalige vakliteratuur plus tentamen – zwaar 16 uur</w:t>
      </w:r>
    </w:p>
    <w:p w14:paraId="63282E14" w14:textId="1D1DE85F" w:rsidR="0069389C" w:rsidRDefault="0069389C" w:rsidP="009A7861">
      <w:pPr>
        <w:rPr>
          <w:lang w:val="nl-NL"/>
        </w:rPr>
      </w:pPr>
      <w:r>
        <w:rPr>
          <w:lang w:val="nl-NL"/>
        </w:rPr>
        <w:t>77 pagina’s Engelstalige wetenschappelijke literatuur</w:t>
      </w:r>
      <w:r w:rsidR="009E5708">
        <w:rPr>
          <w:lang w:val="nl-NL"/>
        </w:rPr>
        <w:t xml:space="preserve"> plus tentamen</w:t>
      </w:r>
      <w:r>
        <w:rPr>
          <w:lang w:val="nl-NL"/>
        </w:rPr>
        <w:t xml:space="preserve"> – </w:t>
      </w:r>
      <w:r w:rsidR="009E5708">
        <w:rPr>
          <w:lang w:val="nl-NL"/>
        </w:rPr>
        <w:t xml:space="preserve">zwaar – 19 </w:t>
      </w:r>
      <w:r>
        <w:rPr>
          <w:lang w:val="nl-NL"/>
        </w:rPr>
        <w:t>uur</w:t>
      </w:r>
    </w:p>
    <w:p w14:paraId="1F685822" w14:textId="71D1114C" w:rsidR="009E5708" w:rsidRDefault="009E5708" w:rsidP="009A7861">
      <w:pPr>
        <w:rPr>
          <w:lang w:val="nl-NL"/>
        </w:rPr>
      </w:pPr>
      <w:r>
        <w:rPr>
          <w:lang w:val="nl-NL"/>
        </w:rPr>
        <w:t>Theoretische toets 1 uur</w:t>
      </w:r>
    </w:p>
    <w:p w14:paraId="7C917456" w14:textId="7328FE73" w:rsidR="009E5708" w:rsidRDefault="009E5708" w:rsidP="009A7861">
      <w:pPr>
        <w:rPr>
          <w:lang w:val="nl-NL"/>
        </w:rPr>
      </w:pPr>
    </w:p>
    <w:p w14:paraId="06B681AF" w14:textId="61F7048E" w:rsidR="009E5708" w:rsidRDefault="009E5708" w:rsidP="009A7861">
      <w:pPr>
        <w:rPr>
          <w:lang w:val="nl-NL"/>
        </w:rPr>
      </w:pPr>
      <w:r>
        <w:rPr>
          <w:lang w:val="nl-NL"/>
        </w:rPr>
        <w:t xml:space="preserve">De </w:t>
      </w:r>
      <w:r w:rsidRPr="00CA5688">
        <w:rPr>
          <w:b/>
          <w:bCs/>
          <w:lang w:val="nl-NL"/>
        </w:rPr>
        <w:t>vakliteratuur en het theoretisch examen</w:t>
      </w:r>
      <w:r>
        <w:rPr>
          <w:lang w:val="nl-NL"/>
        </w:rPr>
        <w:t xml:space="preserve"> zijn belangrijk om de innovatieve ReAttach interventie </w:t>
      </w:r>
      <w:r w:rsidRPr="009E5708">
        <w:rPr>
          <w:b/>
          <w:bCs/>
          <w:lang w:val="nl-NL"/>
        </w:rPr>
        <w:t xml:space="preserve">bewust bekwaam </w:t>
      </w:r>
      <w:r>
        <w:rPr>
          <w:lang w:val="nl-NL"/>
        </w:rPr>
        <w:t xml:space="preserve">te leren toepassen en de achtergrond en opbouw van deze transdiagnostische interventie te kunnen begrijpen en uit te leggen aan bijvoorbeeld collega’s en cliënten.  </w:t>
      </w:r>
    </w:p>
    <w:p w14:paraId="5C769D97" w14:textId="4D889A2C" w:rsidR="00CA5688" w:rsidRDefault="00CA5688" w:rsidP="009A7861">
      <w:pPr>
        <w:rPr>
          <w:lang w:val="nl-NL"/>
        </w:rPr>
      </w:pPr>
    </w:p>
    <w:p w14:paraId="0C8F6E8B" w14:textId="046641DB" w:rsidR="00CA5688" w:rsidRPr="00CA5688" w:rsidRDefault="00CA5688" w:rsidP="009A7861">
      <w:pPr>
        <w:rPr>
          <w:b/>
          <w:bCs/>
          <w:lang w:val="nl-NL"/>
        </w:rPr>
      </w:pPr>
      <w:r w:rsidRPr="00CA5688">
        <w:rPr>
          <w:b/>
          <w:bCs/>
          <w:lang w:val="nl-NL"/>
        </w:rPr>
        <w:t xml:space="preserve">Naast het theoretisch examen is er ook een praktijk examen dat wordt afgesloten met een treatment integrity check. </w:t>
      </w:r>
    </w:p>
    <w:p w14:paraId="01452243" w14:textId="77777777" w:rsidR="009E5708" w:rsidRDefault="009E5708" w:rsidP="009A7861">
      <w:pPr>
        <w:rPr>
          <w:lang w:val="nl-NL"/>
        </w:rPr>
      </w:pPr>
    </w:p>
    <w:p w14:paraId="05F8FF77" w14:textId="50859BC3" w:rsidR="009E5708" w:rsidRDefault="009E5708" w:rsidP="009A7861">
      <w:pPr>
        <w:rPr>
          <w:lang w:val="nl-NL"/>
        </w:rPr>
      </w:pPr>
      <w:r>
        <w:rPr>
          <w:lang w:val="nl-NL"/>
        </w:rPr>
        <w:t>Praktisch examen 12.5 uur voorbereiding protocollen</w:t>
      </w:r>
    </w:p>
    <w:p w14:paraId="30B57157" w14:textId="7EBFBF18" w:rsidR="009E5708" w:rsidRDefault="009E5708" w:rsidP="009A7861">
      <w:pPr>
        <w:rPr>
          <w:lang w:val="nl-NL"/>
        </w:rPr>
      </w:pPr>
      <w:r>
        <w:rPr>
          <w:lang w:val="nl-NL"/>
        </w:rPr>
        <w:t>Praktisch examen 25 uur ReAttach sessies</w:t>
      </w:r>
    </w:p>
    <w:p w14:paraId="1D12F6AE" w14:textId="291F064B" w:rsidR="009E5708" w:rsidRDefault="009E5708" w:rsidP="009A7861">
      <w:pPr>
        <w:rPr>
          <w:lang w:val="nl-NL"/>
        </w:rPr>
      </w:pPr>
      <w:r>
        <w:rPr>
          <w:lang w:val="nl-NL"/>
        </w:rPr>
        <w:t>Reflectie verslag 5 uur</w:t>
      </w:r>
    </w:p>
    <w:p w14:paraId="7D7BE7AF" w14:textId="2641282A" w:rsidR="009E5708" w:rsidRDefault="009E5708" w:rsidP="009A7861">
      <w:pPr>
        <w:rPr>
          <w:lang w:val="nl-NL"/>
        </w:rPr>
      </w:pPr>
    </w:p>
    <w:p w14:paraId="2CAEA096" w14:textId="138575BF" w:rsidR="009E5708" w:rsidRDefault="009E5708" w:rsidP="009A7861">
      <w:pPr>
        <w:rPr>
          <w:lang w:val="nl-NL"/>
        </w:rPr>
      </w:pPr>
      <w:r>
        <w:rPr>
          <w:lang w:val="nl-NL"/>
        </w:rPr>
        <w:t xml:space="preserve">Supervisie – Individueel Online contact met de opleider </w:t>
      </w:r>
      <w:r>
        <w:rPr>
          <w:lang w:val="nl-NL"/>
        </w:rPr>
        <w:br/>
        <w:t>6 keer 1 uur</w:t>
      </w:r>
      <w:r>
        <w:rPr>
          <w:lang w:val="nl-NL"/>
        </w:rPr>
        <w:tab/>
      </w:r>
      <w:r w:rsidR="00CA5688">
        <w:rPr>
          <w:lang w:val="nl-NL"/>
        </w:rPr>
        <w:t xml:space="preserve">: </w:t>
      </w:r>
      <w:r>
        <w:rPr>
          <w:lang w:val="nl-NL"/>
        </w:rPr>
        <w:t xml:space="preserve">6 uur </w:t>
      </w:r>
    </w:p>
    <w:p w14:paraId="63B1AA9C" w14:textId="31EB1C48" w:rsidR="009E5708" w:rsidRDefault="009E5708" w:rsidP="009A7861">
      <w:pPr>
        <w:rPr>
          <w:lang w:val="nl-NL"/>
        </w:rPr>
      </w:pPr>
    </w:p>
    <w:p w14:paraId="2A082F87" w14:textId="17142A48" w:rsidR="009A7861" w:rsidRDefault="009A7861" w:rsidP="009A7861">
      <w:pPr>
        <w:rPr>
          <w:lang w:val="nl-NL"/>
        </w:rPr>
      </w:pPr>
    </w:p>
    <w:p w14:paraId="7BA6D6A2" w14:textId="1A499ED2" w:rsidR="009A7861" w:rsidRDefault="009A7861" w:rsidP="009A7861">
      <w:pPr>
        <w:rPr>
          <w:lang w:val="nl-NL"/>
        </w:rPr>
      </w:pPr>
      <w:r>
        <w:rPr>
          <w:lang w:val="nl-NL"/>
        </w:rPr>
        <w:t>Met vriendelijke groeten,</w:t>
      </w:r>
    </w:p>
    <w:p w14:paraId="155E9883" w14:textId="690D923C" w:rsidR="009A7861" w:rsidRDefault="009A7861" w:rsidP="009A7861">
      <w:pPr>
        <w:rPr>
          <w:lang w:val="nl-NL"/>
        </w:rPr>
      </w:pPr>
    </w:p>
    <w:p w14:paraId="48AFEDED" w14:textId="0E3B99C0" w:rsidR="009A7861" w:rsidRDefault="009A7861" w:rsidP="009A7861">
      <w:pPr>
        <w:rPr>
          <w:lang w:val="nl-NL"/>
        </w:rPr>
      </w:pPr>
      <w:r>
        <w:rPr>
          <w:lang w:val="nl-NL"/>
        </w:rPr>
        <w:t>Paula Bartholomeus</w:t>
      </w:r>
    </w:p>
    <w:p w14:paraId="34B9C582" w14:textId="77777777" w:rsidR="009A7861" w:rsidRPr="009A7861" w:rsidRDefault="009A7861" w:rsidP="009A7861">
      <w:pPr>
        <w:rPr>
          <w:lang w:val="nl-NL"/>
        </w:rPr>
      </w:pPr>
    </w:p>
    <w:sectPr w:rsidR="009A7861" w:rsidRPr="009A7861" w:rsidSect="00DE278B">
      <w:pgSz w:w="11900" w:h="16840" w:orient="landscape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17FCC"/>
    <w:multiLevelType w:val="hybridMultilevel"/>
    <w:tmpl w:val="854E8DBC"/>
    <w:lvl w:ilvl="0" w:tplc="DCA0755A">
      <w:start w:val="8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E3518"/>
    <w:multiLevelType w:val="hybridMultilevel"/>
    <w:tmpl w:val="B19AFDF6"/>
    <w:lvl w:ilvl="0" w:tplc="38740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61"/>
    <w:rsid w:val="00353878"/>
    <w:rsid w:val="0069389C"/>
    <w:rsid w:val="007F5779"/>
    <w:rsid w:val="00834CB0"/>
    <w:rsid w:val="009A7861"/>
    <w:rsid w:val="009E5708"/>
    <w:rsid w:val="00B46844"/>
    <w:rsid w:val="00B56892"/>
    <w:rsid w:val="00B661A3"/>
    <w:rsid w:val="00CA5688"/>
    <w:rsid w:val="00CD5ECC"/>
    <w:rsid w:val="00D145C8"/>
    <w:rsid w:val="00DA1EF3"/>
    <w:rsid w:val="00DE278B"/>
    <w:rsid w:val="00E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6D3DD"/>
  <w15:chartTrackingRefBased/>
  <w15:docId w15:val="{3CF3E1BF-EFB6-B441-B26C-0850B0A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86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F57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7F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Weerkamp-Bartholomeus</dc:creator>
  <cp:keywords/>
  <dc:description/>
  <cp:lastModifiedBy>Paula Weerkamp-Bartholomeus</cp:lastModifiedBy>
  <cp:revision>2</cp:revision>
  <dcterms:created xsi:type="dcterms:W3CDTF">2021-02-01T17:27:00Z</dcterms:created>
  <dcterms:modified xsi:type="dcterms:W3CDTF">2021-02-01T17:27:00Z</dcterms:modified>
</cp:coreProperties>
</file>