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1"/>
      </w:tblGrid>
      <w:tr w:rsidR="00A9015C" w:rsidRPr="00A9015C" w14:paraId="69B291A8" w14:textId="77777777" w:rsidTr="004F6826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FE824B6" w14:textId="77777777" w:rsidR="00A9015C" w:rsidRDefault="00A9015C" w:rsidP="004F682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2D5193"/>
                <w:lang w:val="nl-NL" w:eastAsia="nl-NL"/>
              </w:rPr>
            </w:pPr>
            <w:r w:rsidRPr="007F5779">
              <w:rPr>
                <w:rFonts w:ascii="Calibri" w:eastAsia="Times New Roman" w:hAnsi="Calibri" w:cs="Calibri"/>
                <w:color w:val="2D5193"/>
                <w:lang w:val="nl-NL" w:eastAsia="nl-NL"/>
              </w:rPr>
              <w:t xml:space="preserve">Verplichte Literatuurlijst ReAttach Basisopleiding </w:t>
            </w:r>
          </w:p>
          <w:p w14:paraId="47D542CB" w14:textId="77777777" w:rsidR="00A9015C" w:rsidRPr="007F5779" w:rsidRDefault="00A9015C" w:rsidP="004F6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Nederlandstalig: 82 pagina’s</w:t>
            </w:r>
            <w:r>
              <w:rPr>
                <w:rFonts w:ascii="Times New Roman" w:eastAsia="Times New Roman" w:hAnsi="Times New Roman" w:cs="Times New Roman"/>
                <w:lang w:val="nl-NL" w:eastAsia="nl-NL"/>
              </w:rPr>
              <w:br/>
              <w:t>Engelse artikelen: 77 pagina’s</w:t>
            </w:r>
          </w:p>
          <w:p w14:paraId="5B703611" w14:textId="77777777" w:rsidR="00A9015C" w:rsidRDefault="00A9015C" w:rsidP="004F6826">
            <w:pPr>
              <w:pStyle w:val="Bibliografie"/>
              <w:ind w:left="720" w:hanging="720"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</w:pP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nl-NL" w:eastAsia="nl-NL"/>
              </w:rPr>
              <w:t xml:space="preserve">Bartholomeus, P (2020) Als praten niet helpt... </w:t>
            </w: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>ReAttach</w:t>
            </w:r>
            <w:r w:rsidRPr="00B46844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 xml:space="preserve"> . ReAttach Protocol 8</w:t>
            </w: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 xml:space="preserve">2 </w:t>
            </w:r>
            <w:proofErr w:type="spellStart"/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>pagina’s</w:t>
            </w:r>
            <w:proofErr w:type="spellEnd"/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 xml:space="preserve"> </w:t>
            </w:r>
          </w:p>
          <w:p w14:paraId="7AD71F96" w14:textId="77777777" w:rsidR="00A9015C" w:rsidRPr="00A9015C" w:rsidRDefault="00A9015C" w:rsidP="004F6826">
            <w:pPr>
              <w:pStyle w:val="Bibliografie"/>
              <w:ind w:left="720" w:hanging="720"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</w:pPr>
            <w:proofErr w:type="spellStart"/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>Nederlandstalige</w:t>
            </w:r>
            <w:proofErr w:type="spellEnd"/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 xml:space="preserve"> ReAttach </w:t>
            </w:r>
            <w:proofErr w:type="spellStart"/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>methodiek</w:t>
            </w:r>
            <w:proofErr w:type="spellEnd"/>
          </w:p>
          <w:p w14:paraId="29E3AF89" w14:textId="77777777" w:rsidR="00A9015C" w:rsidRDefault="00A9015C" w:rsidP="004F682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</w:pPr>
            <w:r w:rsidRPr="00B46844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 xml:space="preserve">Ben-Sasson, A., Cermak, S.A., Orsmond, G.I. et al. (2007). Extreme sensory modulation behaviors in toddles with autism spectrum disorders. American Journal of Occupational Therapy. 2007; 61(5):584-592. </w:t>
            </w:r>
          </w:p>
          <w:p w14:paraId="1ED1DFEE" w14:textId="77777777" w:rsidR="00A9015C" w:rsidRDefault="00A9015C" w:rsidP="004F682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</w:pPr>
            <w:r w:rsidRPr="00B46844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>Lillas, C., TenPas, H., Crowley, C., and Spitzer, S.L. (2018). Improving regulation skills for increased participation for individuals with ASD, in Autism Across the Lifespan: A Comprehensive Occupational Therapy Approach, 4th Edn. Eds R. Watling and S. Spitzer (AOTA Press), 319-338.</w:t>
            </w:r>
          </w:p>
          <w:p w14:paraId="74887A09" w14:textId="77777777" w:rsidR="00A9015C" w:rsidRPr="00B46844" w:rsidRDefault="00A9015C" w:rsidP="004F682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</w:pPr>
            <w:r w:rsidRPr="00B46844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>Pfeiffer, B., May-Benson, T.A., and Bodisonm S.C. (2018). State of the science of sensory integration research with children and youth. American Journal of Occupational Therapy 72, 7201170010pl1-7201170010p4.  Doi: 10.10.5014/ajot.2018.721003</w:t>
            </w:r>
          </w:p>
          <w:p w14:paraId="32BE9D89" w14:textId="77777777" w:rsidR="00A9015C" w:rsidRPr="00B46844" w:rsidRDefault="00A9015C" w:rsidP="004F6826">
            <w:pPr>
              <w:pStyle w:val="Normaalweb"/>
              <w:shd w:val="clear" w:color="auto" w:fill="FFFFFF"/>
              <w:rPr>
                <w:rFonts w:ascii="ArialMT" w:hAnsi="ArialMT"/>
                <w:sz w:val="16"/>
                <w:szCs w:val="16"/>
                <w:lang w:val="en-US"/>
              </w:rPr>
            </w:pPr>
            <w:r w:rsidRPr="007F5779">
              <w:rPr>
                <w:rFonts w:ascii="ArialMT" w:hAnsi="ArialMT"/>
                <w:sz w:val="16"/>
                <w:szCs w:val="16"/>
                <w:lang w:val="en-US"/>
              </w:rPr>
              <w:t>Schaaf, R.C., Dumont, R.L., Arbesman, M., and May-Benson, T.A. (2018) Efficacy of occupational therapy using ayres sensory integration: a systematic review. American Journal for Occupational Therapy 72, 7201190010p1-7201190010p10. Doi: 10.5014/ajot/2018.028431.</w:t>
            </w:r>
          </w:p>
          <w:p w14:paraId="55AE6AC2" w14:textId="77777777" w:rsidR="00A9015C" w:rsidRPr="00A9015C" w:rsidRDefault="00A9015C" w:rsidP="004F682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</w:pPr>
            <w:r w:rsidRPr="00A9015C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 xml:space="preserve">Weerkamp Bartholomeus, P. (2015). </w:t>
            </w: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>ReAttach a new schema therapy for adults and children? part I adults. Clinical Neuropsychiatry, 12(2), 9-13.</w:t>
            </w: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br/>
            </w: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br/>
              <w:t>Weerkamp Bartholomeus, P. J. (2015). ReAttach a new schema therapy for adults and children? part II children. Clinical Neuropsychiatry, 12(2), 14-17.</w:t>
            </w: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br/>
            </w: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br/>
              <w:t xml:space="preserve">Weerkamp Bartholomeus, P. (2015). ReAttach a multimodal intervention for ASD? </w:t>
            </w:r>
            <w:r w:rsidRPr="00A9015C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 xml:space="preserve">Clinical Neuropsychiatry, 12(2), 18-22. </w:t>
            </w:r>
          </w:p>
          <w:p w14:paraId="1F427416" w14:textId="77777777" w:rsidR="00A9015C" w:rsidRPr="007F5779" w:rsidRDefault="00A9015C" w:rsidP="004F682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</w:pP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 xml:space="preserve">Weerkamp Bartholomeus, P. (2015). ReAttach the Exciting Development of a Promising Intervention for Autism Spectrum Disorders. In P. M. Fitzgerald (Ed.), Autism Spectrum Disorder - recent advances (pp. http://www.intechopen.com/books/autism-spectrum-disorder-recent-advances/reattach-the-exciting- development-of-a-promising-intervention-for-autism-spectrum-disorders). Intech. </w:t>
            </w:r>
          </w:p>
          <w:p w14:paraId="536C4123" w14:textId="77777777" w:rsidR="00A9015C" w:rsidRPr="00B46844" w:rsidRDefault="00A9015C" w:rsidP="004F6826">
            <w:pPr>
              <w:pStyle w:val="Normaalweb"/>
              <w:shd w:val="clear" w:color="auto" w:fill="FFFFFF"/>
              <w:rPr>
                <w:rFonts w:ascii="ArialMT" w:hAnsi="ArialMT"/>
                <w:color w:val="0F54CC"/>
                <w:sz w:val="16"/>
                <w:szCs w:val="16"/>
                <w:lang w:val="en-US"/>
              </w:rPr>
            </w:pPr>
            <w:r w:rsidRPr="007F5779">
              <w:rPr>
                <w:rFonts w:ascii="ArialMT" w:hAnsi="ArialMT"/>
                <w:sz w:val="16"/>
                <w:szCs w:val="16"/>
                <w:lang w:val="en-US"/>
              </w:rPr>
              <w:t>Weerkamp-Bartholomeus et al. (2020) Randomized comparison of W.A.R.A. (Wiring Affect with ReAttach) versus distraction: a pilot study assessing the efficacy of an ultrafast transdiagnostic intervention.</w:t>
            </w:r>
            <w:r w:rsidRPr="007F5779">
              <w:rPr>
                <w:rFonts w:ascii="ArialMT" w:hAnsi="ArialMT"/>
                <w:sz w:val="16"/>
                <w:szCs w:val="16"/>
                <w:lang w:val="en-US"/>
              </w:rPr>
              <w:br/>
            </w:r>
            <w:r w:rsidRPr="007F5779">
              <w:rPr>
                <w:rFonts w:ascii="ArialMT" w:hAnsi="ArialMT"/>
                <w:color w:val="0F54CC"/>
                <w:sz w:val="16"/>
                <w:szCs w:val="16"/>
                <w:lang w:val="en-US"/>
              </w:rPr>
              <w:t xml:space="preserve">https://doi.org/10.1016/j.heliyon.2020.e04660 </w:t>
            </w:r>
          </w:p>
          <w:p w14:paraId="7B0BD10D" w14:textId="77777777" w:rsidR="00A9015C" w:rsidRPr="00B46844" w:rsidRDefault="00A9015C" w:rsidP="004F6826">
            <w:pPr>
              <w:pStyle w:val="Normaalweb"/>
              <w:shd w:val="clear" w:color="auto" w:fill="FFFFFF"/>
              <w:rPr>
                <w:rFonts w:ascii="ArialMT" w:hAnsi="ArialMT"/>
                <w:color w:val="0F54CC"/>
                <w:sz w:val="16"/>
                <w:szCs w:val="16"/>
                <w:lang w:val="en-US"/>
              </w:rPr>
            </w:pPr>
            <w:r w:rsidRPr="007F5779">
              <w:rPr>
                <w:rFonts w:ascii="ArialMT" w:hAnsi="ArialMT"/>
                <w:sz w:val="16"/>
                <w:szCs w:val="16"/>
                <w:lang w:val="en-US"/>
              </w:rPr>
              <w:t xml:space="preserve">Weerkamp-Bartholomeus et al. (2020) W.A.R.A. (Wiring Affect with ReAttach) provided by remote training: a first aid psychological intervention? </w:t>
            </w:r>
            <w:r w:rsidRPr="007F5779">
              <w:rPr>
                <w:rFonts w:ascii="Gautami" w:hAnsi="Gautami" w:cs="Gautami"/>
                <w:sz w:val="16"/>
                <w:szCs w:val="16"/>
                <w:lang w:val="en-US"/>
              </w:rPr>
              <w:t>​</w:t>
            </w:r>
            <w:r w:rsidRPr="007F5779">
              <w:rPr>
                <w:rFonts w:ascii="ArialMT" w:hAnsi="ArialMT"/>
                <w:color w:val="0F54CC"/>
                <w:sz w:val="16"/>
                <w:szCs w:val="16"/>
                <w:lang w:val="en-US"/>
              </w:rPr>
              <w:t xml:space="preserve">https://doi.org/10.36131/CN20200217 </w:t>
            </w:r>
          </w:p>
          <w:p w14:paraId="0F5FCACC" w14:textId="77777777" w:rsidR="00A9015C" w:rsidRPr="00A9015C" w:rsidRDefault="00A9015C" w:rsidP="004F6826">
            <w:pPr>
              <w:pStyle w:val="Normaalweb"/>
              <w:shd w:val="clear" w:color="auto" w:fill="FFFFFF"/>
              <w:rPr>
                <w:rFonts w:ascii="ArialMT" w:hAnsi="ArialMT"/>
                <w:color w:val="0F54CC"/>
                <w:sz w:val="16"/>
                <w:szCs w:val="16"/>
                <w:lang w:val="en-US"/>
              </w:rPr>
            </w:pPr>
            <w:r w:rsidRPr="007F5779">
              <w:rPr>
                <w:rFonts w:ascii="ArialMT" w:hAnsi="ArialMT"/>
                <w:sz w:val="16"/>
                <w:szCs w:val="16"/>
                <w:lang w:val="en-US"/>
              </w:rPr>
              <w:t xml:space="preserve">Weerkamp-Bartholomeus et al. (2021) Remote W.A.R.A. compare to face-to-face W.A.R.A.: a pilot study. </w:t>
            </w:r>
            <w:r w:rsidRPr="00A9015C">
              <w:rPr>
                <w:rFonts w:ascii="ArialMT" w:hAnsi="ArialMT"/>
                <w:sz w:val="16"/>
                <w:szCs w:val="16"/>
                <w:lang w:val="en-US"/>
              </w:rPr>
              <w:t xml:space="preserve">Frontiers in Psychology. </w:t>
            </w:r>
            <w:r w:rsidRPr="00A9015C">
              <w:rPr>
                <w:rFonts w:ascii="Gautami" w:hAnsi="Gautami" w:cs="Gautami"/>
                <w:sz w:val="16"/>
                <w:szCs w:val="16"/>
                <w:lang w:val="en-US"/>
              </w:rPr>
              <w:t>​</w:t>
            </w:r>
            <w:r w:rsidRPr="00A9015C">
              <w:rPr>
                <w:rFonts w:ascii="ArialMT" w:hAnsi="ArialMT"/>
                <w:color w:val="0F54CC"/>
                <w:sz w:val="16"/>
                <w:szCs w:val="16"/>
                <w:lang w:val="en-US"/>
              </w:rPr>
              <w:t xml:space="preserve">https://doi.org/10.3389/fpsyg.200.620027 </w:t>
            </w:r>
          </w:p>
          <w:p w14:paraId="68F3BD50" w14:textId="77777777" w:rsidR="00A9015C" w:rsidRPr="00A9015C" w:rsidRDefault="00A9015C" w:rsidP="004F682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212121"/>
                <w:sz w:val="16"/>
                <w:szCs w:val="16"/>
                <w:lang w:val="en-US" w:eastAsia="nl-NL"/>
              </w:rPr>
            </w:pPr>
          </w:p>
        </w:tc>
      </w:tr>
      <w:tr w:rsidR="00A9015C" w:rsidRPr="007F5779" w14:paraId="77CC24BD" w14:textId="77777777" w:rsidTr="004F68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28AD3F2" w14:textId="77777777" w:rsidR="00A9015C" w:rsidRDefault="00A9015C" w:rsidP="004F682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</w:pPr>
          </w:p>
          <w:p w14:paraId="22F18C56" w14:textId="77777777" w:rsidR="00A9015C" w:rsidRPr="00B46844" w:rsidRDefault="00A9015C" w:rsidP="004F682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 w:val="16"/>
                <w:szCs w:val="16"/>
                <w:lang w:val="nl-NL" w:eastAsia="nl-NL"/>
              </w:rPr>
            </w:pPr>
            <w:r w:rsidRPr="00B46844">
              <w:rPr>
                <w:rFonts w:ascii="Arial" w:eastAsia="Times New Roman" w:hAnsi="Arial" w:cs="Arial"/>
                <w:color w:val="212121"/>
                <w:sz w:val="16"/>
                <w:szCs w:val="16"/>
                <w:lang w:val="nl-NL" w:eastAsia="nl-NL"/>
              </w:rPr>
              <w:t>Theoretische toets wordt online gemaakt</w:t>
            </w: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nl-NL" w:eastAsia="nl-NL"/>
              </w:rPr>
              <w:t xml:space="preserve"> en bestaat uit meerkeuze vragen met antwoorden die slecht, goed, beter of het beste zijn. De afname van de theoretische toets bedraagt gemiddeld 45 tot 60 minuten. </w:t>
            </w:r>
          </w:p>
          <w:p w14:paraId="27A1732C" w14:textId="77777777" w:rsidR="00A9015C" w:rsidRPr="007F5779" w:rsidRDefault="00A9015C" w:rsidP="004F6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A9015C" w:rsidRPr="007F5779" w14:paraId="3DD716FF" w14:textId="77777777" w:rsidTr="004F68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DAA6AFB" w14:textId="77777777" w:rsidR="00A9015C" w:rsidRPr="007F5779" w:rsidRDefault="00A9015C" w:rsidP="004F6826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</w:tbl>
    <w:p w14:paraId="619F923F" w14:textId="77777777" w:rsidR="001A7EDC" w:rsidRPr="00981F47" w:rsidRDefault="001A7EDC">
      <w:pPr>
        <w:pStyle w:val="Kop2"/>
      </w:pPr>
    </w:p>
    <w:sectPr w:rsidR="001A7EDC" w:rsidRPr="00981F47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6F177" w14:textId="77777777" w:rsidR="004A27AF" w:rsidRDefault="004A27AF">
      <w:r>
        <w:separator/>
      </w:r>
    </w:p>
    <w:p w14:paraId="13EA321B" w14:textId="77777777" w:rsidR="004A27AF" w:rsidRDefault="004A27AF"/>
  </w:endnote>
  <w:endnote w:type="continuationSeparator" w:id="0">
    <w:p w14:paraId="47EFFD8C" w14:textId="77777777" w:rsidR="004A27AF" w:rsidRDefault="004A27AF">
      <w:r>
        <w:continuationSeparator/>
      </w:r>
    </w:p>
    <w:p w14:paraId="5CDECCFB" w14:textId="77777777" w:rsidR="004A27AF" w:rsidRDefault="004A2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15F2C" w14:textId="77777777" w:rsidR="001A7EDC" w:rsidRDefault="00D9010B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01509" w14:textId="77777777" w:rsidR="004A27AF" w:rsidRDefault="004A27AF">
      <w:r>
        <w:separator/>
      </w:r>
    </w:p>
    <w:p w14:paraId="6E73B310" w14:textId="77777777" w:rsidR="004A27AF" w:rsidRDefault="004A27AF"/>
  </w:footnote>
  <w:footnote w:type="continuationSeparator" w:id="0">
    <w:p w14:paraId="67F65926" w14:textId="77777777" w:rsidR="004A27AF" w:rsidRDefault="004A27AF">
      <w:r>
        <w:continuationSeparator/>
      </w:r>
    </w:p>
    <w:p w14:paraId="70C6F698" w14:textId="77777777" w:rsidR="004A27AF" w:rsidRDefault="004A27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C"/>
    <w:rsid w:val="001A7585"/>
    <w:rsid w:val="001A7EDC"/>
    <w:rsid w:val="004A27AF"/>
    <w:rsid w:val="008B02AA"/>
    <w:rsid w:val="00981F47"/>
    <w:rsid w:val="00A9015C"/>
    <w:rsid w:val="00C55403"/>
    <w:rsid w:val="00D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FB0CA"/>
  <w15:chartTrackingRefBased/>
  <w15:docId w15:val="{8BEF942B-12F7-084D-A432-5F44D9F5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nl-NL" w:eastAsia="ja-JP" w:bidi="nl-N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015C"/>
    <w:pPr>
      <w:spacing w:after="0" w:line="240" w:lineRule="auto"/>
    </w:pPr>
    <w:rPr>
      <w:color w:val="auto"/>
      <w:sz w:val="24"/>
      <w:szCs w:val="24"/>
      <w:lang w:val="en-GB" w:eastAsia="en-US" w:bidi="ar-SA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  <w:lang w:val="nl-NL" w:eastAsia="ja-JP" w:bidi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val="nl-NL"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60" w:after="120" w:line="259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lang w:val="nl-NL" w:eastAsia="ja-JP" w:bidi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 w:after="120" w:line="259" w:lineRule="auto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val="nl-NL" w:eastAsia="ja-JP" w:bidi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 w:after="120" w:line="259" w:lineRule="auto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  <w:lang w:val="nl-NL" w:eastAsia="ja-JP" w:bidi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 w:after="120" w:line="259" w:lineRule="auto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val="nl-NL" w:eastAsia="ja-JP" w:bidi="nl-N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 w:after="120" w:line="259" w:lineRule="auto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val="nl-NL" w:eastAsia="ja-JP" w:bidi="nl-N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 w:after="120" w:line="259" w:lineRule="auto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val="nl-NL" w:eastAsia="ja-JP" w:bidi="nl-N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 w:after="120" w:line="259" w:lineRule="auto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val="nl-NL" w:eastAsia="ja-JP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3"/>
      </w:numPr>
      <w:spacing w:after="120" w:line="259" w:lineRule="auto"/>
    </w:pPr>
    <w:rPr>
      <w:color w:val="595959" w:themeColor="text1" w:themeTint="A6"/>
      <w:sz w:val="30"/>
      <w:szCs w:val="30"/>
      <w:lang w:val="nl-NL" w:eastAsia="ja-JP" w:bidi="nl-NL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4"/>
      </w:numPr>
      <w:spacing w:after="120" w:line="259" w:lineRule="auto"/>
    </w:pPr>
    <w:rPr>
      <w:color w:val="595959" w:themeColor="text1" w:themeTint="A6"/>
      <w:sz w:val="30"/>
      <w:szCs w:val="30"/>
      <w:lang w:val="nl-NL" w:eastAsia="ja-JP" w:bidi="nl-NL"/>
    </w:rPr>
  </w:style>
  <w:style w:type="paragraph" w:styleId="Koptekst">
    <w:name w:val="header"/>
    <w:basedOn w:val="Standaard"/>
    <w:link w:val="KoptekstChar"/>
    <w:uiPriority w:val="99"/>
    <w:unhideWhenUsed/>
    <w:qFormat/>
    <w:rPr>
      <w:color w:val="595959" w:themeColor="text1" w:themeTint="A6"/>
      <w:sz w:val="30"/>
      <w:szCs w:val="30"/>
      <w:lang w:val="nl-NL" w:eastAsia="ja-JP" w:bidi="nl-NL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rPr>
      <w:color w:val="595959" w:themeColor="text1" w:themeTint="A6"/>
      <w:sz w:val="30"/>
      <w:szCs w:val="30"/>
      <w:lang w:val="nl-NL" w:eastAsia="ja-JP" w:bidi="nl-NL"/>
    </w:r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val="nl-NL" w:eastAsia="ja-JP" w:bidi="nl-NL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 w:line="259" w:lineRule="auto"/>
      <w:contextualSpacing/>
    </w:pPr>
    <w:rPr>
      <w:rFonts w:eastAsiaTheme="minorEastAsia"/>
      <w:caps/>
      <w:color w:val="595959" w:themeColor="text1" w:themeTint="A6"/>
      <w:sz w:val="40"/>
      <w:szCs w:val="30"/>
      <w:lang w:val="nl-NL" w:eastAsia="ja-JP" w:bidi="nl-NL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 w:after="120" w:line="259" w:lineRule="auto"/>
    </w:pPr>
    <w:rPr>
      <w:i/>
      <w:iCs/>
      <w:color w:val="595959" w:themeColor="text1" w:themeTint="A6"/>
      <w:sz w:val="36"/>
      <w:szCs w:val="30"/>
      <w:lang w:val="nl-NL" w:eastAsia="ja-JP" w:bidi="nl-NL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 w:after="120" w:line="259" w:lineRule="auto"/>
    </w:pPr>
    <w:rPr>
      <w:b/>
      <w:i/>
      <w:iCs/>
      <w:color w:val="595959" w:themeColor="text1" w:themeTint="A6"/>
      <w:sz w:val="36"/>
      <w:szCs w:val="30"/>
      <w:lang w:val="nl-NL" w:eastAsia="ja-JP" w:bidi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/>
    </w:pPr>
    <w:rPr>
      <w:i/>
      <w:iCs/>
      <w:color w:val="595959" w:themeColor="text1" w:themeTint="A6"/>
      <w:szCs w:val="18"/>
      <w:lang w:val="nl-NL" w:eastAsia="ja-JP" w:bidi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731C3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A901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paragraph" w:styleId="Bibliografie">
    <w:name w:val="Bibliography"/>
    <w:basedOn w:val="Standaard"/>
    <w:next w:val="Standaard"/>
    <w:uiPriority w:val="37"/>
    <w:unhideWhenUsed/>
    <w:rsid w:val="00A9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ulaweerkamp/Library/Group%20Containers/UBF8T346G9.Office/User%20Content.localized/Templates.localized/A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A4.dotx</Template>
  <TotalTime>1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Weerkamp-Bartholomeus</dc:creator>
  <cp:keywords/>
  <dc:description/>
  <cp:lastModifiedBy>Paula Weerkamp-Bartholomeus</cp:lastModifiedBy>
  <cp:revision>1</cp:revision>
  <cp:lastPrinted>2020-07-02T07:25:00Z</cp:lastPrinted>
  <dcterms:created xsi:type="dcterms:W3CDTF">2021-02-02T07:57:00Z</dcterms:created>
  <dcterms:modified xsi:type="dcterms:W3CDTF">2021-02-02T07:58:00Z</dcterms:modified>
</cp:coreProperties>
</file>