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3344A" w14:textId="77777777" w:rsidR="009F0320" w:rsidRDefault="009F0320" w:rsidP="009F0320">
      <w:pPr>
        <w:spacing w:line="240" w:lineRule="auto"/>
        <w:rPr>
          <w:rFonts w:ascii="Helvetica" w:hAnsi="Helvetica" w:cs="Helvetica"/>
          <w:color w:val="373737"/>
          <w:sz w:val="45"/>
          <w:szCs w:val="45"/>
          <w:lang w:eastAsia="nl-NL"/>
        </w:rPr>
      </w:pPr>
      <w:r>
        <w:rPr>
          <w:rFonts w:ascii="Helvetica" w:hAnsi="Helvetica" w:cs="Helvetica"/>
          <w:color w:val="373737"/>
          <w:sz w:val="45"/>
          <w:szCs w:val="45"/>
          <w:lang w:eastAsia="nl-NL"/>
        </w:rPr>
        <w:t>Uw patiënten- en financiële administratie op orde Module II</w:t>
      </w:r>
    </w:p>
    <w:p w14:paraId="1FB9A5D2" w14:textId="77777777" w:rsidR="009F0320" w:rsidRDefault="009F0320" w:rsidP="009F0320">
      <w:pPr>
        <w:spacing w:line="240" w:lineRule="auto"/>
        <w:rPr>
          <w:rFonts w:ascii="Helvetica" w:hAnsi="Helvetica" w:cs="Helvetica"/>
          <w:color w:val="2F2F2F"/>
          <w:sz w:val="27"/>
          <w:szCs w:val="27"/>
          <w:lang w:eastAsia="nl-NL"/>
        </w:rPr>
      </w:pPr>
      <w:r>
        <w:rPr>
          <w:rFonts w:ascii="Helvetica" w:hAnsi="Helvetica" w:cs="Helvetica"/>
          <w:color w:val="2F2F2F"/>
          <w:sz w:val="27"/>
          <w:szCs w:val="27"/>
          <w:lang w:eastAsia="nl-NL"/>
        </w:rPr>
        <w:t> </w:t>
      </w:r>
    </w:p>
    <w:p w14:paraId="301B1FD7" w14:textId="77777777" w:rsidR="009F0320" w:rsidRDefault="009F0320" w:rsidP="009F0320">
      <w:pPr>
        <w:spacing w:after="300" w:line="360" w:lineRule="atLeast"/>
        <w:rPr>
          <w:rFonts w:ascii="Helvetica" w:hAnsi="Helvetica" w:cs="Helvetica"/>
          <w:color w:val="2F2F2F"/>
          <w:sz w:val="24"/>
          <w:szCs w:val="24"/>
          <w:lang w:eastAsia="nl-NL"/>
        </w:rPr>
      </w:pPr>
      <w:r>
        <w:rPr>
          <w:rFonts w:ascii="Helvetica" w:hAnsi="Helvetica" w:cs="Helvetica"/>
          <w:color w:val="2F2F2F"/>
          <w:sz w:val="24"/>
          <w:szCs w:val="24"/>
          <w:lang w:eastAsia="nl-NL"/>
        </w:rPr>
        <w:t>De ervaring leert dat zelfs huisartsenpraktijken die goed lijken te draaien inkomsten mislopen. In deze workshop krijgt u meer overzicht in de patiënten- en financiële administratie, hoe efficiënter te werken én een hoger rendement te behalen. In Module I heeft u de basis gelegd voor een veranderproces in uw praktijk. In deze vervolgworkshop gaan we met een aantal thema's meer praktisch aan de slag.</w:t>
      </w:r>
    </w:p>
    <w:p w14:paraId="1BA13793" w14:textId="77777777" w:rsidR="009F0320" w:rsidRDefault="009F0320" w:rsidP="009F0320">
      <w:pPr>
        <w:spacing w:line="240" w:lineRule="auto"/>
        <w:rPr>
          <w:rFonts w:ascii="Helvetica" w:hAnsi="Helvetica" w:cs="Helvetica"/>
          <w:color w:val="2F2F2F"/>
          <w:sz w:val="38"/>
          <w:szCs w:val="38"/>
          <w:lang w:eastAsia="nl-NL"/>
        </w:rPr>
      </w:pPr>
      <w:r>
        <w:rPr>
          <w:rFonts w:ascii="Helvetica" w:hAnsi="Helvetica" w:cs="Helvetica"/>
          <w:color w:val="2F2F2F"/>
          <w:sz w:val="38"/>
          <w:szCs w:val="38"/>
          <w:lang w:eastAsia="nl-NL"/>
        </w:rPr>
        <w:t>Leerdoel</w:t>
      </w:r>
    </w:p>
    <w:p w14:paraId="12DDCC49" w14:textId="77777777" w:rsidR="009F0320" w:rsidRDefault="009F0320" w:rsidP="009F0320">
      <w:pPr>
        <w:numPr>
          <w:ilvl w:val="0"/>
          <w:numId w:val="1"/>
        </w:numPr>
        <w:spacing w:line="360" w:lineRule="atLeast"/>
        <w:ind w:left="0" w:hanging="264"/>
        <w:textAlignment w:val="top"/>
        <w:rPr>
          <w:rFonts w:ascii="Helvetica" w:hAnsi="Helvetica" w:cs="Helvetica"/>
          <w:color w:val="2F2F2F"/>
          <w:sz w:val="24"/>
          <w:szCs w:val="24"/>
          <w:lang w:eastAsia="nl-NL"/>
        </w:rPr>
      </w:pPr>
      <w:r>
        <w:rPr>
          <w:rFonts w:ascii="Helvetica" w:hAnsi="Helvetica" w:cs="Helvetica"/>
          <w:color w:val="2F2F2F"/>
          <w:sz w:val="24"/>
          <w:szCs w:val="24"/>
          <w:lang w:eastAsia="nl-NL"/>
        </w:rPr>
        <w:t>U krijgt handvatten voor verbetering van werkprocessen in de praktijk.</w:t>
      </w:r>
    </w:p>
    <w:p w14:paraId="61F2C3BD" w14:textId="77777777" w:rsidR="009F0320" w:rsidRDefault="009F0320" w:rsidP="009F0320">
      <w:pPr>
        <w:numPr>
          <w:ilvl w:val="0"/>
          <w:numId w:val="1"/>
        </w:numPr>
        <w:spacing w:line="360" w:lineRule="atLeast"/>
        <w:ind w:left="0" w:hanging="264"/>
        <w:textAlignment w:val="top"/>
        <w:rPr>
          <w:rFonts w:ascii="Helvetica" w:hAnsi="Helvetica" w:cs="Helvetica"/>
          <w:color w:val="2F2F2F"/>
          <w:sz w:val="24"/>
          <w:szCs w:val="24"/>
          <w:lang w:eastAsia="nl-NL"/>
        </w:rPr>
      </w:pPr>
      <w:r>
        <w:rPr>
          <w:rFonts w:ascii="Helvetica" w:hAnsi="Helvetica" w:cs="Helvetica"/>
          <w:color w:val="2F2F2F"/>
          <w:sz w:val="24"/>
          <w:szCs w:val="24"/>
          <w:lang w:eastAsia="nl-NL"/>
        </w:rPr>
        <w:t>U krijgt handvatten voor een efficiënte en effectieve financiële administratie.</w:t>
      </w:r>
    </w:p>
    <w:p w14:paraId="394C24D8" w14:textId="77777777" w:rsidR="009F0320" w:rsidRDefault="009F0320" w:rsidP="009F0320">
      <w:pPr>
        <w:numPr>
          <w:ilvl w:val="0"/>
          <w:numId w:val="1"/>
        </w:numPr>
        <w:spacing w:line="360" w:lineRule="atLeast"/>
        <w:ind w:left="0" w:hanging="264"/>
        <w:textAlignment w:val="top"/>
        <w:rPr>
          <w:rFonts w:ascii="Helvetica" w:hAnsi="Helvetica" w:cs="Helvetica"/>
          <w:color w:val="2F2F2F"/>
          <w:sz w:val="24"/>
          <w:szCs w:val="24"/>
          <w:lang w:eastAsia="nl-NL"/>
        </w:rPr>
      </w:pPr>
    </w:p>
    <w:p w14:paraId="392E3D9F" w14:textId="77777777" w:rsidR="009F0320" w:rsidRDefault="009F0320" w:rsidP="009F0320">
      <w:pPr>
        <w:spacing w:line="240" w:lineRule="auto"/>
        <w:rPr>
          <w:rFonts w:ascii="Helvetica" w:hAnsi="Helvetica" w:cs="Helvetica"/>
          <w:color w:val="2F2F2F"/>
          <w:sz w:val="38"/>
          <w:szCs w:val="38"/>
          <w:lang w:eastAsia="nl-NL"/>
        </w:rPr>
      </w:pPr>
      <w:r>
        <w:rPr>
          <w:rFonts w:ascii="Helvetica" w:hAnsi="Helvetica" w:cs="Helvetica"/>
          <w:color w:val="2F2F2F"/>
          <w:sz w:val="38"/>
          <w:szCs w:val="38"/>
          <w:lang w:eastAsia="nl-NL"/>
        </w:rPr>
        <w:t>Inhoud workshop</w:t>
      </w:r>
    </w:p>
    <w:p w14:paraId="3DFEDDB8" w14:textId="77777777" w:rsidR="009F0320" w:rsidRDefault="009F0320" w:rsidP="009F0320">
      <w:pPr>
        <w:spacing w:after="300" w:line="360" w:lineRule="atLeast"/>
        <w:rPr>
          <w:rFonts w:ascii="Helvetica" w:hAnsi="Helvetica" w:cs="Helvetica"/>
          <w:color w:val="2F2F2F"/>
          <w:sz w:val="24"/>
          <w:szCs w:val="24"/>
          <w:lang w:eastAsia="nl-NL"/>
        </w:rPr>
      </w:pPr>
      <w:r>
        <w:rPr>
          <w:rFonts w:ascii="Helvetica" w:hAnsi="Helvetica" w:cs="Helvetica"/>
          <w:color w:val="2F2F2F"/>
          <w:sz w:val="24"/>
          <w:szCs w:val="24"/>
          <w:lang w:eastAsia="nl-NL"/>
        </w:rPr>
        <w:t xml:space="preserve">Deze module kan op locatie aangevraagd worden wanneer Module I heeft plaatsgevonden. In Module II gaan we na een terugblik op de vorige module verder met de thema’s ‘Patiëntmutaties’ en ‘Verwerking van declaraties’. Zaken als patiëntmutaties, ION, COV, VECOZO en retourinformatie brengen we in deze module samen. U gaat thema’s als patiëntmutaties en de verwerking van declaraties praktisch uitwerken. Daarnaast krijgt u handvatten aangereikt voor werkprocedures, </w:t>
      </w:r>
      <w:proofErr w:type="spellStart"/>
      <w:r>
        <w:rPr>
          <w:rFonts w:ascii="Helvetica" w:hAnsi="Helvetica" w:cs="Helvetica"/>
          <w:color w:val="2F2F2F"/>
          <w:sz w:val="24"/>
          <w:szCs w:val="24"/>
          <w:lang w:eastAsia="nl-NL"/>
        </w:rPr>
        <w:t>lean</w:t>
      </w:r>
      <w:proofErr w:type="spellEnd"/>
      <w:r>
        <w:rPr>
          <w:rFonts w:ascii="Helvetica" w:hAnsi="Helvetica" w:cs="Helvetica"/>
          <w:color w:val="2F2F2F"/>
          <w:sz w:val="24"/>
          <w:szCs w:val="24"/>
          <w:lang w:eastAsia="nl-NL"/>
        </w:rPr>
        <w:t xml:space="preserve"> werken en voor een transparante financiële administratie. Onder meer komt de afhandeling van retourinformatie bij declaratie-afwijzingen aan bod, met achterliggende factoren; door proactief te werken kunnen veel afwijzingen voorkomen worden. Uiteraard komen ook uw vragen aan bod.</w:t>
      </w:r>
    </w:p>
    <w:p w14:paraId="758CB754" w14:textId="77777777" w:rsidR="009F0320" w:rsidRDefault="009F0320" w:rsidP="009F0320">
      <w:pPr>
        <w:spacing w:after="300" w:line="360" w:lineRule="atLeast"/>
        <w:rPr>
          <w:rFonts w:ascii="Helvetica" w:hAnsi="Helvetica" w:cs="Helvetica"/>
          <w:color w:val="2F2F2F"/>
          <w:sz w:val="24"/>
          <w:szCs w:val="24"/>
          <w:lang w:eastAsia="nl-NL"/>
        </w:rPr>
      </w:pPr>
      <w:r>
        <w:rPr>
          <w:rFonts w:ascii="Helvetica" w:hAnsi="Helvetica" w:cs="Helvetica"/>
          <w:color w:val="2F2F2F"/>
          <w:sz w:val="24"/>
          <w:szCs w:val="24"/>
          <w:lang w:eastAsia="nl-NL"/>
        </w:rPr>
        <w:t>De aanwezigheid van de verantwoordelijke huisarts is belangrijk voor inzicht in het gehele werkproces. Hierna kan het proces gedelegeerd worden aan de verantwoordelijke medewerker(s). Bij een grotere aanwezigheid van medewerkers is er al meteen een veel groter draagvlak. Module II kan op maat worden aangeboden, afgestemd op uw praktijksituatie. </w:t>
      </w:r>
    </w:p>
    <w:p w14:paraId="32620967" w14:textId="77777777" w:rsidR="009F0320" w:rsidRDefault="009F0320" w:rsidP="009F0320">
      <w:pPr>
        <w:spacing w:after="300" w:line="360" w:lineRule="atLeast"/>
        <w:rPr>
          <w:rFonts w:ascii="Helvetica" w:hAnsi="Helvetica" w:cs="Helvetica"/>
          <w:color w:val="2F2F2F"/>
          <w:sz w:val="24"/>
          <w:szCs w:val="24"/>
          <w:lang w:eastAsia="nl-NL"/>
        </w:rPr>
      </w:pPr>
      <w:r>
        <w:rPr>
          <w:rFonts w:ascii="Helvetica" w:hAnsi="Helvetica" w:cs="Helvetica"/>
          <w:color w:val="2F2F2F"/>
          <w:sz w:val="24"/>
          <w:szCs w:val="24"/>
          <w:lang w:eastAsia="nl-NL"/>
        </w:rPr>
        <w:t>Lees ook het artikel uit De Dokter: </w:t>
      </w:r>
      <w:hyperlink r:id="rId8" w:history="1">
        <w:r>
          <w:rPr>
            <w:rStyle w:val="Hyperlink"/>
            <w:rFonts w:ascii="Helvetica" w:hAnsi="Helvetica" w:cs="Helvetica"/>
            <w:color w:val="083566"/>
            <w:sz w:val="24"/>
            <w:szCs w:val="24"/>
            <w:lang w:eastAsia="nl-NL"/>
          </w:rPr>
          <w:t>Praktijken laten soms omzet liggen</w:t>
        </w:r>
      </w:hyperlink>
    </w:p>
    <w:p w14:paraId="760F7FDE" w14:textId="77777777" w:rsidR="009F0320" w:rsidRDefault="009F0320" w:rsidP="009F0320">
      <w:pPr>
        <w:spacing w:after="300" w:line="360" w:lineRule="atLeast"/>
        <w:rPr>
          <w:rFonts w:ascii="Helvetica" w:hAnsi="Helvetica" w:cs="Helvetica"/>
          <w:color w:val="2F2F2F"/>
          <w:sz w:val="24"/>
          <w:szCs w:val="24"/>
          <w:lang w:eastAsia="nl-NL"/>
        </w:rPr>
      </w:pPr>
      <w:r>
        <w:rPr>
          <w:rFonts w:ascii="Helvetica" w:hAnsi="Helvetica" w:cs="Helvetica"/>
          <w:color w:val="2F2F2F"/>
          <w:sz w:val="24"/>
          <w:szCs w:val="24"/>
          <w:lang w:eastAsia="nl-NL"/>
        </w:rPr>
        <w:t> </w:t>
      </w:r>
    </w:p>
    <w:p w14:paraId="4BA9647B" w14:textId="77777777" w:rsidR="009F0320" w:rsidRDefault="009F0320" w:rsidP="009F0320">
      <w:pPr>
        <w:spacing w:line="240" w:lineRule="auto"/>
        <w:rPr>
          <w:rFonts w:ascii="Helvetica" w:hAnsi="Helvetica" w:cs="Helvetica"/>
          <w:color w:val="454545"/>
          <w:sz w:val="33"/>
          <w:szCs w:val="33"/>
          <w:lang w:eastAsia="nl-NL"/>
        </w:rPr>
      </w:pPr>
      <w:r>
        <w:rPr>
          <w:rFonts w:ascii="Helvetica" w:hAnsi="Helvetica" w:cs="Helvetica"/>
          <w:color w:val="454545"/>
          <w:sz w:val="33"/>
          <w:szCs w:val="33"/>
          <w:lang w:eastAsia="nl-NL"/>
        </w:rPr>
        <w:t>Praktische informatie</w:t>
      </w:r>
    </w:p>
    <w:tbl>
      <w:tblPr>
        <w:tblW w:w="9450" w:type="dxa"/>
        <w:tblCellMar>
          <w:left w:w="0" w:type="dxa"/>
          <w:right w:w="0" w:type="dxa"/>
        </w:tblCellMar>
        <w:tblLook w:val="04A0" w:firstRow="1" w:lastRow="0" w:firstColumn="1" w:lastColumn="0" w:noHBand="0" w:noVBand="1"/>
      </w:tblPr>
      <w:tblGrid>
        <w:gridCol w:w="2594"/>
        <w:gridCol w:w="6856"/>
      </w:tblGrid>
      <w:tr w:rsidR="009F0320" w14:paraId="426F4D84" w14:textId="77777777" w:rsidTr="009F0320">
        <w:tc>
          <w:tcPr>
            <w:tcW w:w="0" w:type="auto"/>
            <w:tcBorders>
              <w:top w:val="single" w:sz="8" w:space="0" w:color="E1E1E1"/>
              <w:left w:val="nil"/>
              <w:bottom w:val="nil"/>
              <w:right w:val="nil"/>
            </w:tcBorders>
            <w:tcMar>
              <w:top w:w="195" w:type="dxa"/>
              <w:left w:w="0" w:type="dxa"/>
              <w:bottom w:w="195" w:type="dxa"/>
              <w:right w:w="135" w:type="dxa"/>
            </w:tcMar>
            <w:vAlign w:val="bottom"/>
            <w:hideMark/>
          </w:tcPr>
          <w:p w14:paraId="3C808DD6" w14:textId="77777777" w:rsidR="009F0320" w:rsidRDefault="009F0320">
            <w:pPr>
              <w:spacing w:line="240" w:lineRule="auto"/>
              <w:rPr>
                <w:rFonts w:ascii="Calibri" w:hAnsi="Calibri" w:cs="Calibri"/>
                <w:b/>
                <w:bCs/>
                <w:color w:val="2F2F2F"/>
                <w:sz w:val="22"/>
                <w:szCs w:val="22"/>
                <w:lang w:eastAsia="nl-NL"/>
              </w:rPr>
            </w:pPr>
            <w:r>
              <w:rPr>
                <w:rFonts w:ascii="Calibri" w:hAnsi="Calibri" w:cs="Calibri"/>
                <w:b/>
                <w:bCs/>
                <w:color w:val="2F2F2F"/>
                <w:sz w:val="22"/>
                <w:szCs w:val="22"/>
                <w:lang w:eastAsia="nl-NL"/>
              </w:rPr>
              <w:lastRenderedPageBreak/>
              <w:t>Doelgroep</w:t>
            </w:r>
          </w:p>
        </w:tc>
        <w:tc>
          <w:tcPr>
            <w:tcW w:w="0" w:type="auto"/>
            <w:tcBorders>
              <w:top w:val="single" w:sz="8" w:space="0" w:color="E1E1E1"/>
              <w:left w:val="nil"/>
              <w:bottom w:val="nil"/>
              <w:right w:val="nil"/>
            </w:tcBorders>
            <w:tcMar>
              <w:top w:w="195" w:type="dxa"/>
              <w:left w:w="135" w:type="dxa"/>
              <w:bottom w:w="0" w:type="dxa"/>
              <w:right w:w="135" w:type="dxa"/>
            </w:tcMar>
            <w:vAlign w:val="bottom"/>
            <w:hideMark/>
          </w:tcPr>
          <w:p w14:paraId="2ACE2BB3" w14:textId="77777777" w:rsidR="009F0320" w:rsidRDefault="009F0320">
            <w:pPr>
              <w:spacing w:line="240" w:lineRule="auto"/>
              <w:rPr>
                <w:rFonts w:ascii="Calibri" w:hAnsi="Calibri" w:cs="Calibri"/>
                <w:color w:val="2F2F2F"/>
                <w:sz w:val="22"/>
                <w:szCs w:val="22"/>
                <w:lang w:eastAsia="nl-NL"/>
              </w:rPr>
            </w:pPr>
            <w:r>
              <w:rPr>
                <w:rFonts w:ascii="Calibri" w:hAnsi="Calibri" w:cs="Calibri"/>
                <w:color w:val="2F2F2F"/>
                <w:sz w:val="22"/>
                <w:szCs w:val="22"/>
                <w:lang w:eastAsia="nl-NL"/>
              </w:rPr>
              <w:t>Doktersassistente</w:t>
            </w:r>
            <w:r>
              <w:rPr>
                <w:rFonts w:ascii="Calibri" w:hAnsi="Calibri" w:cs="Calibri"/>
                <w:color w:val="2F2F2F"/>
                <w:sz w:val="22"/>
                <w:szCs w:val="22"/>
                <w:lang w:eastAsia="nl-NL"/>
              </w:rPr>
              <w:br/>
            </w:r>
            <w:proofErr w:type="spellStart"/>
            <w:r>
              <w:rPr>
                <w:rFonts w:ascii="Calibri" w:hAnsi="Calibri" w:cs="Calibri"/>
                <w:color w:val="2F2F2F"/>
                <w:sz w:val="22"/>
                <w:szCs w:val="22"/>
                <w:lang w:eastAsia="nl-NL"/>
              </w:rPr>
              <w:t>Hid</w:t>
            </w:r>
            <w:proofErr w:type="spellEnd"/>
            <w:r>
              <w:rPr>
                <w:rFonts w:ascii="Calibri" w:hAnsi="Calibri" w:cs="Calibri"/>
                <w:color w:val="2F2F2F"/>
                <w:sz w:val="22"/>
                <w:szCs w:val="22"/>
                <w:lang w:eastAsia="nl-NL"/>
              </w:rPr>
              <w:t>(ha)</w:t>
            </w:r>
            <w:r>
              <w:rPr>
                <w:rFonts w:ascii="Calibri" w:hAnsi="Calibri" w:cs="Calibri"/>
                <w:color w:val="2F2F2F"/>
                <w:sz w:val="22"/>
                <w:szCs w:val="22"/>
                <w:lang w:eastAsia="nl-NL"/>
              </w:rPr>
              <w:br/>
              <w:t>Praktijkhouder</w:t>
            </w:r>
            <w:r>
              <w:rPr>
                <w:rFonts w:ascii="Calibri" w:hAnsi="Calibri" w:cs="Calibri"/>
                <w:color w:val="2F2F2F"/>
                <w:sz w:val="22"/>
                <w:szCs w:val="22"/>
                <w:lang w:eastAsia="nl-NL"/>
              </w:rPr>
              <w:br/>
              <w:t>Praktijkmanager</w:t>
            </w:r>
            <w:r>
              <w:rPr>
                <w:rFonts w:ascii="Calibri" w:hAnsi="Calibri" w:cs="Calibri"/>
                <w:color w:val="2F2F2F"/>
                <w:sz w:val="22"/>
                <w:szCs w:val="22"/>
                <w:lang w:eastAsia="nl-NL"/>
              </w:rPr>
              <w:br/>
              <w:t>Praktijkondersteuner</w:t>
            </w:r>
            <w:r>
              <w:rPr>
                <w:rFonts w:ascii="Calibri" w:hAnsi="Calibri" w:cs="Calibri"/>
                <w:color w:val="2F2F2F"/>
                <w:sz w:val="22"/>
                <w:szCs w:val="22"/>
                <w:lang w:eastAsia="nl-NL"/>
              </w:rPr>
              <w:br/>
              <w:t>Waarnemer</w:t>
            </w:r>
          </w:p>
        </w:tc>
      </w:tr>
      <w:tr w:rsidR="009F0320" w14:paraId="4E280B65" w14:textId="77777777" w:rsidTr="009F0320">
        <w:tc>
          <w:tcPr>
            <w:tcW w:w="0" w:type="auto"/>
            <w:tcMar>
              <w:top w:w="195" w:type="dxa"/>
              <w:left w:w="0" w:type="dxa"/>
              <w:bottom w:w="195" w:type="dxa"/>
              <w:right w:w="135" w:type="dxa"/>
            </w:tcMar>
            <w:vAlign w:val="bottom"/>
            <w:hideMark/>
          </w:tcPr>
          <w:p w14:paraId="42FD927A" w14:textId="77777777" w:rsidR="009F0320" w:rsidRDefault="009F0320">
            <w:pPr>
              <w:spacing w:line="240" w:lineRule="auto"/>
              <w:rPr>
                <w:rFonts w:ascii="Calibri" w:hAnsi="Calibri" w:cs="Calibri"/>
                <w:b/>
                <w:bCs/>
                <w:color w:val="2F2F2F"/>
                <w:sz w:val="22"/>
                <w:szCs w:val="22"/>
                <w:lang w:eastAsia="nl-NL"/>
              </w:rPr>
            </w:pPr>
            <w:r>
              <w:rPr>
                <w:rFonts w:ascii="Calibri" w:hAnsi="Calibri" w:cs="Calibri"/>
                <w:b/>
                <w:bCs/>
                <w:color w:val="2F2F2F"/>
                <w:sz w:val="22"/>
                <w:szCs w:val="22"/>
                <w:lang w:eastAsia="nl-NL"/>
              </w:rPr>
              <w:t>Accreditatie</w:t>
            </w:r>
          </w:p>
        </w:tc>
        <w:tc>
          <w:tcPr>
            <w:tcW w:w="0" w:type="auto"/>
            <w:tcMar>
              <w:top w:w="195" w:type="dxa"/>
              <w:left w:w="135" w:type="dxa"/>
              <w:bottom w:w="0" w:type="dxa"/>
              <w:right w:w="135" w:type="dxa"/>
            </w:tcMar>
            <w:vAlign w:val="bottom"/>
            <w:hideMark/>
          </w:tcPr>
          <w:p w14:paraId="14E91DC7" w14:textId="77777777" w:rsidR="009F0320" w:rsidRDefault="009F0320">
            <w:pPr>
              <w:spacing w:line="240" w:lineRule="auto"/>
              <w:rPr>
                <w:rFonts w:ascii="Calibri" w:hAnsi="Calibri" w:cs="Calibri"/>
                <w:color w:val="2F2F2F"/>
                <w:sz w:val="22"/>
                <w:szCs w:val="22"/>
                <w:lang w:eastAsia="nl-NL"/>
              </w:rPr>
            </w:pPr>
            <w:r>
              <w:rPr>
                <w:rFonts w:ascii="Calibri" w:hAnsi="Calibri" w:cs="Calibri"/>
                <w:color w:val="2F2F2F"/>
                <w:sz w:val="22"/>
                <w:szCs w:val="22"/>
                <w:lang w:eastAsia="nl-NL"/>
              </w:rPr>
              <w:t>6 punten</w:t>
            </w:r>
          </w:p>
        </w:tc>
      </w:tr>
      <w:tr w:rsidR="009F0320" w14:paraId="7C745452" w14:textId="77777777" w:rsidTr="009F0320">
        <w:tc>
          <w:tcPr>
            <w:tcW w:w="0" w:type="auto"/>
            <w:tcMar>
              <w:top w:w="195" w:type="dxa"/>
              <w:left w:w="0" w:type="dxa"/>
              <w:bottom w:w="195" w:type="dxa"/>
              <w:right w:w="135" w:type="dxa"/>
            </w:tcMar>
            <w:vAlign w:val="bottom"/>
            <w:hideMark/>
          </w:tcPr>
          <w:p w14:paraId="714A130E" w14:textId="77777777" w:rsidR="009F0320" w:rsidRDefault="009F0320">
            <w:pPr>
              <w:spacing w:line="240" w:lineRule="auto"/>
              <w:rPr>
                <w:rFonts w:ascii="Calibri" w:hAnsi="Calibri" w:cs="Calibri"/>
                <w:b/>
                <w:bCs/>
                <w:color w:val="2F2F2F"/>
                <w:sz w:val="22"/>
                <w:szCs w:val="22"/>
                <w:lang w:eastAsia="nl-NL"/>
              </w:rPr>
            </w:pPr>
            <w:r>
              <w:rPr>
                <w:rFonts w:ascii="Calibri" w:hAnsi="Calibri" w:cs="Calibri"/>
                <w:b/>
                <w:bCs/>
                <w:color w:val="2F2F2F"/>
                <w:sz w:val="22"/>
                <w:szCs w:val="22"/>
                <w:lang w:eastAsia="nl-NL"/>
              </w:rPr>
              <w:t>Kosten</w:t>
            </w:r>
          </w:p>
        </w:tc>
        <w:tc>
          <w:tcPr>
            <w:tcW w:w="0" w:type="auto"/>
            <w:tcMar>
              <w:top w:w="195" w:type="dxa"/>
              <w:left w:w="135" w:type="dxa"/>
              <w:bottom w:w="0" w:type="dxa"/>
              <w:right w:w="135" w:type="dxa"/>
            </w:tcMar>
            <w:vAlign w:val="bottom"/>
            <w:hideMark/>
          </w:tcPr>
          <w:p w14:paraId="41C9F978" w14:textId="77777777" w:rsidR="009F0320" w:rsidRDefault="009F0320">
            <w:pPr>
              <w:spacing w:line="240" w:lineRule="auto"/>
              <w:rPr>
                <w:rFonts w:ascii="Calibri" w:hAnsi="Calibri" w:cs="Calibri"/>
                <w:color w:val="2F2F2F"/>
                <w:sz w:val="22"/>
                <w:szCs w:val="22"/>
                <w:lang w:eastAsia="nl-NL"/>
              </w:rPr>
            </w:pPr>
            <w:r>
              <w:rPr>
                <w:rFonts w:ascii="Calibri" w:hAnsi="Calibri" w:cs="Calibri"/>
                <w:color w:val="2F2F2F"/>
                <w:sz w:val="22"/>
                <w:szCs w:val="22"/>
                <w:lang w:eastAsia="nl-NL"/>
              </w:rPr>
              <w:t>Leden € 295,- / Niet-leden € 565,-</w:t>
            </w:r>
          </w:p>
        </w:tc>
      </w:tr>
    </w:tbl>
    <w:p w14:paraId="15D3C4EE" w14:textId="77777777" w:rsidR="009F0320" w:rsidRDefault="009F0320" w:rsidP="009F0320">
      <w:pPr>
        <w:spacing w:line="240" w:lineRule="auto"/>
        <w:rPr>
          <w:rFonts w:ascii="Helvetica" w:hAnsi="Helvetica" w:cs="Helvetica"/>
          <w:color w:val="2F2F2F"/>
          <w:sz w:val="38"/>
          <w:szCs w:val="38"/>
          <w:lang w:eastAsia="nl-NL"/>
        </w:rPr>
      </w:pPr>
      <w:r>
        <w:rPr>
          <w:rFonts w:ascii="Helvetica" w:hAnsi="Helvetica" w:cs="Helvetica"/>
          <w:color w:val="2F2F2F"/>
          <w:sz w:val="38"/>
          <w:szCs w:val="38"/>
          <w:lang w:eastAsia="nl-NL"/>
        </w:rPr>
        <w:t>Trainer(s)</w:t>
      </w:r>
    </w:p>
    <w:p w14:paraId="78368ABE" w14:textId="605EE349" w:rsidR="009F0320" w:rsidRDefault="009F0320" w:rsidP="009F0320">
      <w:pPr>
        <w:spacing w:after="300" w:line="360" w:lineRule="atLeast"/>
        <w:rPr>
          <w:rFonts w:ascii="Helvetica" w:hAnsi="Helvetica" w:cs="Helvetica"/>
          <w:color w:val="2F2F2F"/>
          <w:sz w:val="24"/>
          <w:szCs w:val="24"/>
          <w:lang w:eastAsia="nl-NL"/>
        </w:rPr>
      </w:pPr>
      <w:r>
        <w:rPr>
          <w:rFonts w:ascii="Helvetica" w:hAnsi="Helvetica" w:cs="Helvetica"/>
          <w:noProof/>
          <w:color w:val="083566"/>
          <w:sz w:val="24"/>
          <w:szCs w:val="24"/>
          <w:lang w:eastAsia="nl-NL"/>
        </w:rPr>
        <w:drawing>
          <wp:inline distT="0" distB="0" distL="0" distR="0" wp14:anchorId="2BF94470" wp14:editId="36E3E898">
            <wp:extent cx="533400" cy="857250"/>
            <wp:effectExtent l="0" t="0" r="0" b="0"/>
            <wp:docPr id="1" name="Afbeelding 1">
              <a:hlinkClick xmlns:a="http://schemas.openxmlformats.org/drawingml/2006/main" r:id="rId9" tooltip="&quot;&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33400" cy="857250"/>
                    </a:xfrm>
                    <a:prstGeom prst="rect">
                      <a:avLst/>
                    </a:prstGeom>
                    <a:noFill/>
                    <a:ln>
                      <a:noFill/>
                    </a:ln>
                  </pic:spPr>
                </pic:pic>
              </a:graphicData>
            </a:graphic>
          </wp:inline>
        </w:drawing>
      </w:r>
    </w:p>
    <w:p w14:paraId="5F758246" w14:textId="77777777" w:rsidR="009F0320" w:rsidRDefault="009F0320" w:rsidP="009F0320">
      <w:pPr>
        <w:spacing w:line="360" w:lineRule="atLeast"/>
        <w:rPr>
          <w:rFonts w:ascii="Helvetica" w:hAnsi="Helvetica" w:cs="Helvetica"/>
          <w:color w:val="2F2F2F"/>
          <w:sz w:val="24"/>
          <w:szCs w:val="24"/>
          <w:lang w:eastAsia="nl-NL"/>
        </w:rPr>
      </w:pPr>
      <w:r>
        <w:rPr>
          <w:rFonts w:ascii="Helvetica" w:hAnsi="Helvetica" w:cs="Helvetica"/>
          <w:color w:val="2F2F2F"/>
          <w:sz w:val="24"/>
          <w:szCs w:val="24"/>
          <w:lang w:eastAsia="nl-NL"/>
        </w:rPr>
        <w:t>Betty Bosman werkte jarenlang in het Radboud Universitair Medisch Centrum. Als echtgenote van een huisarts begon ze in 2007 met zijn financiële administratie. Ze ondervond aan den lijve wat er kan misgaan met bijvoorbeeld het boeken, het factureren en tijdens werkprocessen. Maar ze weet ook dat je in relatief korte tijd veel op orde kan brengen. Sinds 2011 heeft Betty haar eigen advies-en organisatiebureau voor huisartsenpraktijken, waarbij ze deze kennis overbrengt. De nadruk ligt hierbij op eenduidige werk- en declaratieprocessen, op tijdwinst en een optimale omzet.</w:t>
      </w:r>
    </w:p>
    <w:p w14:paraId="3A139CF5" w14:textId="77777777" w:rsidR="009F0320" w:rsidRDefault="009F0320" w:rsidP="009F0320">
      <w:pPr>
        <w:rPr>
          <w:rFonts w:ascii="Calibri" w:hAnsi="Calibri" w:cs="Calibri"/>
          <w:sz w:val="22"/>
          <w:szCs w:val="22"/>
        </w:rPr>
      </w:pPr>
    </w:p>
    <w:p w14:paraId="19F078B7" w14:textId="77777777" w:rsidR="00915FCF" w:rsidRDefault="00915FCF"/>
    <w:sectPr w:rsidR="00915F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E2AFD"/>
    <w:multiLevelType w:val="multilevel"/>
    <w:tmpl w:val="C8F85C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320"/>
    <w:rsid w:val="001B2B18"/>
    <w:rsid w:val="00915FCF"/>
    <w:rsid w:val="009F0320"/>
    <w:rsid w:val="00E14E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C8F93"/>
  <w15:chartTrackingRefBased/>
  <w15:docId w15:val="{CA23C702-3C58-452A-9A1D-6E0E01973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F0320"/>
    <w:pPr>
      <w:spacing w:after="0" w:line="252" w:lineRule="auto"/>
    </w:pPr>
    <w:rPr>
      <w:rFonts w:ascii="Arial" w:hAnsi="Arial" w:cs="Arial"/>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9F032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713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hv.nl/actueel/tijdschriften/artikel/praktijken-laten-soms-omzet-liggen"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jpg@01D68CE3.24DC23C0"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hyperlink" Target="https://lhva.nl/uploads/Editor/55/betty-bosman--foto-voor-lhv-site-module-1-en-2.jp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C6FADDC65CAA42A3AF7B80EFEDD0D8" ma:contentTypeVersion="12" ma:contentTypeDescription="Een nieuw document maken." ma:contentTypeScope="" ma:versionID="401e3c3976b845dc6d29089f81d6fe37">
  <xsd:schema xmlns:xsd="http://www.w3.org/2001/XMLSchema" xmlns:xs="http://www.w3.org/2001/XMLSchema" xmlns:p="http://schemas.microsoft.com/office/2006/metadata/properties" xmlns:ns2="2800d838-55e4-4359-a83d-7f34c223bb3c" xmlns:ns3="16463c95-b589-4d88-a268-689b00110e0b" targetNamespace="http://schemas.microsoft.com/office/2006/metadata/properties" ma:root="true" ma:fieldsID="041f26d7f3a21c9528f5d84b2620f6c2" ns2:_="" ns3:_="">
    <xsd:import namespace="2800d838-55e4-4359-a83d-7f34c223bb3c"/>
    <xsd:import namespace="16463c95-b589-4d88-a268-689b00110e0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00d838-55e4-4359-a83d-7f34c223b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63c95-b589-4d88-a268-689b00110e0b"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92C771-A971-4C26-A5FC-492B69D4C2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00d838-55e4-4359-a83d-7f34c223bb3c"/>
    <ds:schemaRef ds:uri="16463c95-b589-4d88-a268-689b00110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B2FC95-79D0-404D-A2DE-621A09AA16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8EEEF3-2786-44CB-AF31-B689AE9577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413</Words>
  <Characters>2277</Characters>
  <Application>Microsoft Office Word</Application>
  <DocSecurity>0</DocSecurity>
  <Lines>18</Lines>
  <Paragraphs>5</Paragraphs>
  <ScaleCrop>false</ScaleCrop>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Marjolijn Rustemeijer</dc:creator>
  <cp:keywords/>
  <dc:description/>
  <cp:lastModifiedBy>Marjolijn Rustemeijer</cp:lastModifiedBy>
  <cp:revision>2</cp:revision>
  <dcterms:created xsi:type="dcterms:W3CDTF">2020-09-24T14:03:00Z</dcterms:created>
  <dcterms:modified xsi:type="dcterms:W3CDTF">2020-09-24T14:03:00Z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0x010100F5C6FADDC65CAA42A3AF7B80EFEDD0D8</vt:lpwstr>
  </property>
</Properties>
</file>