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8E" w:rsidRPr="00C436C9" w:rsidRDefault="00230B8E" w:rsidP="00230B8E">
      <w:pPr>
        <w:rPr>
          <w:b/>
          <w:szCs w:val="18"/>
          <w:u w:val="single"/>
        </w:rPr>
      </w:pPr>
      <w:r w:rsidRPr="00C436C9">
        <w:rPr>
          <w:b/>
          <w:szCs w:val="18"/>
          <w:u w:val="single"/>
        </w:rPr>
        <w:t>Literatuurlijst</w:t>
      </w:r>
      <w:r w:rsidR="00C436C9" w:rsidRPr="00C436C9">
        <w:rPr>
          <w:b/>
          <w:szCs w:val="18"/>
          <w:u w:val="single"/>
        </w:rPr>
        <w:t xml:space="preserve"> workshop </w:t>
      </w:r>
      <w:proofErr w:type="spellStart"/>
      <w:r w:rsidR="00C436C9" w:rsidRPr="00C436C9">
        <w:rPr>
          <w:b/>
          <w:szCs w:val="18"/>
          <w:u w:val="single"/>
        </w:rPr>
        <w:t>workshop</w:t>
      </w:r>
      <w:proofErr w:type="spellEnd"/>
      <w:r w:rsidR="00C436C9" w:rsidRPr="00C436C9">
        <w:rPr>
          <w:b/>
          <w:szCs w:val="18"/>
          <w:u w:val="single"/>
        </w:rPr>
        <w:t xml:space="preserve"> Kennisupdate TIA CVA</w:t>
      </w:r>
    </w:p>
    <w:p w:rsidR="00230B8E" w:rsidRDefault="00230B8E" w:rsidP="00230B8E">
      <w:pPr>
        <w:rPr>
          <w:szCs w:val="18"/>
        </w:rPr>
      </w:pPr>
    </w:p>
    <w:p w:rsidR="00C436C9" w:rsidRPr="00C436C9" w:rsidRDefault="00C436C9" w:rsidP="00C436C9">
      <w:pPr>
        <w:autoSpaceDE w:val="0"/>
        <w:autoSpaceDN w:val="0"/>
        <w:adjustRightInd w:val="0"/>
        <w:rPr>
          <w:rFonts w:cs="Verdana"/>
          <w:i/>
          <w:szCs w:val="18"/>
          <w:u w:val="single"/>
        </w:rPr>
      </w:pPr>
      <w:r w:rsidRPr="00C436C9">
        <w:rPr>
          <w:rFonts w:cs="Verdana"/>
          <w:i/>
          <w:szCs w:val="18"/>
          <w:u w:val="single"/>
        </w:rPr>
        <w:t>Richtlijnen</w:t>
      </w:r>
    </w:p>
    <w:p w:rsidR="00CB1659" w:rsidRDefault="00702622" w:rsidP="00CB1659">
      <w:pPr>
        <w:contextualSpacing/>
        <w:textAlignment w:val="baseline"/>
        <w:rPr>
          <w:szCs w:val="18"/>
        </w:rPr>
      </w:pPr>
      <w:r>
        <w:rPr>
          <w:szCs w:val="18"/>
        </w:rPr>
        <w:t>Richtlijn beroerte 2019</w:t>
      </w:r>
    </w:p>
    <w:p w:rsidR="00CB1659" w:rsidRDefault="00622E88" w:rsidP="00CB1659">
      <w:pPr>
        <w:contextualSpacing/>
        <w:textAlignment w:val="baseline"/>
        <w:rPr>
          <w:rFonts w:eastAsiaTheme="minorEastAsia" w:cstheme="minorBidi"/>
          <w:szCs w:val="18"/>
          <w:u w:val="single"/>
        </w:rPr>
      </w:pPr>
      <w:hyperlink r:id="rId6" w:history="1">
        <w:r w:rsidR="00CB1659" w:rsidRPr="00D461FF">
          <w:rPr>
            <w:rStyle w:val="Hyperlink"/>
            <w:rFonts w:eastAsiaTheme="minorEastAsia" w:cstheme="minorBidi"/>
            <w:szCs w:val="18"/>
          </w:rPr>
          <w:t>https://richtlijnendatabase.nl/richtlijn/herseninfarct_en_hersenbloeding/startpagina_herseninfarct_-bloeding.html/</w:t>
        </w:r>
      </w:hyperlink>
    </w:p>
    <w:p w:rsidR="00CB1659" w:rsidRPr="00CB1659" w:rsidRDefault="00CB1659" w:rsidP="00CB1659">
      <w:pPr>
        <w:contextualSpacing/>
        <w:textAlignment w:val="baseline"/>
        <w:rPr>
          <w:rFonts w:eastAsiaTheme="minorEastAsia" w:cstheme="minorBidi"/>
          <w:szCs w:val="18"/>
          <w:u w:val="single"/>
        </w:rPr>
      </w:pPr>
    </w:p>
    <w:p w:rsidR="00C436C9" w:rsidRDefault="00C436C9" w:rsidP="00230B8E">
      <w:pPr>
        <w:rPr>
          <w:szCs w:val="18"/>
        </w:rPr>
      </w:pPr>
    </w:p>
    <w:p w:rsidR="00C436C9" w:rsidRPr="00C436C9" w:rsidRDefault="00C436C9" w:rsidP="00C436C9">
      <w:pPr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  <w:r w:rsidRPr="00C436C9">
        <w:rPr>
          <w:rFonts w:ascii="Calibri" w:eastAsia="Calibri" w:hAnsi="Calibri"/>
          <w:i/>
          <w:sz w:val="22"/>
          <w:szCs w:val="22"/>
          <w:u w:val="single"/>
          <w:lang w:eastAsia="en-US"/>
        </w:rPr>
        <w:t>Internetbronnen</w:t>
      </w:r>
    </w:p>
    <w:p w:rsidR="00CB1659" w:rsidRDefault="00622E88" w:rsidP="00CB1659">
      <w:pPr>
        <w:rPr>
          <w:szCs w:val="18"/>
        </w:rPr>
      </w:pPr>
      <w:hyperlink r:id="rId7" w:history="1">
        <w:r w:rsidR="00CB1659" w:rsidRPr="00D461FF">
          <w:rPr>
            <w:rStyle w:val="Hyperlink"/>
            <w:szCs w:val="18"/>
          </w:rPr>
          <w:t>www.kennisnetwerkNederland.nl</w:t>
        </w:r>
      </w:hyperlink>
    </w:p>
    <w:p w:rsidR="00CB1659" w:rsidRDefault="00CB1659" w:rsidP="00CB1659">
      <w:pPr>
        <w:rPr>
          <w:szCs w:val="18"/>
        </w:rPr>
      </w:pPr>
    </w:p>
    <w:p w:rsidR="00CB1659" w:rsidRDefault="00622E88" w:rsidP="00CB1659">
      <w:pPr>
        <w:rPr>
          <w:szCs w:val="18"/>
        </w:rPr>
      </w:pPr>
      <w:hyperlink r:id="rId8" w:history="1">
        <w:r w:rsidR="00CB1659" w:rsidRPr="00D461FF">
          <w:rPr>
            <w:rStyle w:val="Hyperlink"/>
            <w:szCs w:val="18"/>
          </w:rPr>
          <w:t>www.hartstichting.nl</w:t>
        </w:r>
      </w:hyperlink>
    </w:p>
    <w:p w:rsidR="00CB1659" w:rsidRDefault="00CB1659" w:rsidP="00CB1659">
      <w:pPr>
        <w:rPr>
          <w:szCs w:val="18"/>
        </w:rPr>
      </w:pPr>
    </w:p>
    <w:p w:rsidR="00CB1659" w:rsidRDefault="00622E88" w:rsidP="00CB1659">
      <w:pPr>
        <w:rPr>
          <w:szCs w:val="18"/>
        </w:rPr>
      </w:pPr>
      <w:hyperlink r:id="rId9" w:history="1">
        <w:r w:rsidR="00CB1659" w:rsidRPr="00D461FF">
          <w:rPr>
            <w:rStyle w:val="Hyperlink"/>
            <w:szCs w:val="18"/>
          </w:rPr>
          <w:t>https://www.hersenletsel.nl/</w:t>
        </w:r>
      </w:hyperlink>
    </w:p>
    <w:p w:rsidR="00CB1659" w:rsidRDefault="00CB1659" w:rsidP="00CB1659">
      <w:pPr>
        <w:rPr>
          <w:szCs w:val="18"/>
        </w:rPr>
      </w:pPr>
    </w:p>
    <w:p w:rsidR="00CB1659" w:rsidRDefault="00622E88" w:rsidP="00CB1659">
      <w:pPr>
        <w:rPr>
          <w:color w:val="0066FF"/>
          <w:szCs w:val="18"/>
        </w:rPr>
      </w:pPr>
      <w:hyperlink r:id="rId10" w:history="1">
        <w:r w:rsidR="00CB1659" w:rsidRPr="00D461FF">
          <w:rPr>
            <w:rStyle w:val="Hyperlink"/>
            <w:szCs w:val="18"/>
          </w:rPr>
          <w:t>https://www.volksgezondheidenzorg.info/onderwerp/beroerte/cijfers-context/huidige-situatie</w:t>
        </w:r>
      </w:hyperlink>
    </w:p>
    <w:p w:rsidR="00CB1659" w:rsidRPr="00CB1659" w:rsidRDefault="00CB1659" w:rsidP="00CB1659">
      <w:pPr>
        <w:rPr>
          <w:color w:val="0066FF"/>
          <w:szCs w:val="18"/>
        </w:rPr>
      </w:pPr>
    </w:p>
    <w:p w:rsidR="00C436C9" w:rsidRDefault="00C436C9" w:rsidP="00C436C9">
      <w:pPr>
        <w:rPr>
          <w:szCs w:val="18"/>
        </w:rPr>
      </w:pPr>
    </w:p>
    <w:p w:rsidR="00C436C9" w:rsidRPr="00C436C9" w:rsidRDefault="00C436C9" w:rsidP="00C436C9">
      <w:pPr>
        <w:rPr>
          <w:b/>
          <w:szCs w:val="18"/>
        </w:rPr>
      </w:pPr>
      <w:r w:rsidRPr="00C436C9">
        <w:rPr>
          <w:b/>
          <w:szCs w:val="18"/>
          <w:u w:val="single"/>
        </w:rPr>
        <w:t>Literatuurlijst Workshop ‘Alles helder?’ Oogheelkundige aandoeningen</w:t>
      </w:r>
    </w:p>
    <w:p w:rsidR="00622E88" w:rsidRDefault="00622E88" w:rsidP="00C436C9">
      <w:pPr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</w:p>
    <w:p w:rsidR="00C436C9" w:rsidRPr="00C436C9" w:rsidRDefault="00C436C9" w:rsidP="00C436C9">
      <w:pPr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  <w:r w:rsidRPr="00C436C9">
        <w:rPr>
          <w:rFonts w:ascii="Calibri" w:eastAsia="Calibri" w:hAnsi="Calibri"/>
          <w:i/>
          <w:sz w:val="22"/>
          <w:szCs w:val="22"/>
          <w:u w:val="single"/>
          <w:lang w:eastAsia="en-US"/>
        </w:rPr>
        <w:t>Literatuur</w:t>
      </w:r>
    </w:p>
    <w:p w:rsidR="00697EA6" w:rsidRPr="006B33BD" w:rsidRDefault="00697EA6" w:rsidP="00697EA6">
      <w:pPr>
        <w:contextualSpacing/>
        <w:rPr>
          <w:szCs w:val="18"/>
        </w:rPr>
      </w:pPr>
      <w:r w:rsidRPr="006B33BD">
        <w:rPr>
          <w:rFonts w:cs="Segoe UI"/>
          <w:szCs w:val="18"/>
        </w:rPr>
        <w:t xml:space="preserve">American </w:t>
      </w:r>
      <w:proofErr w:type="spellStart"/>
      <w:r w:rsidRPr="006B33BD">
        <w:rPr>
          <w:rFonts w:cs="Segoe UI"/>
          <w:szCs w:val="18"/>
        </w:rPr>
        <w:t>Academy</w:t>
      </w:r>
      <w:proofErr w:type="spellEnd"/>
      <w:r w:rsidRPr="006B33BD">
        <w:rPr>
          <w:rFonts w:cs="Segoe UI"/>
          <w:szCs w:val="18"/>
        </w:rPr>
        <w:t xml:space="preserve"> Of </w:t>
      </w:r>
      <w:proofErr w:type="spellStart"/>
      <w:r w:rsidRPr="006B33BD">
        <w:rPr>
          <w:rFonts w:cs="Segoe UI"/>
          <w:szCs w:val="18"/>
        </w:rPr>
        <w:t>Ophthalmology</w:t>
      </w:r>
      <w:proofErr w:type="spellEnd"/>
      <w:r w:rsidRPr="006B33BD">
        <w:rPr>
          <w:rFonts w:cs="Segoe UI"/>
          <w:szCs w:val="18"/>
        </w:rPr>
        <w:t xml:space="preserve">. (2018). </w:t>
      </w:r>
      <w:r w:rsidRPr="006B33BD">
        <w:rPr>
          <w:rFonts w:cs="Segoe UI"/>
          <w:i/>
          <w:iCs/>
          <w:szCs w:val="18"/>
        </w:rPr>
        <w:t xml:space="preserve">2018-2019 </w:t>
      </w:r>
      <w:proofErr w:type="spellStart"/>
      <w:r w:rsidRPr="006B33BD">
        <w:rPr>
          <w:rFonts w:cs="Segoe UI"/>
          <w:i/>
          <w:iCs/>
          <w:szCs w:val="18"/>
        </w:rPr>
        <w:t>Basic</w:t>
      </w:r>
      <w:proofErr w:type="spellEnd"/>
      <w:r w:rsidRPr="006B33BD">
        <w:rPr>
          <w:rFonts w:cs="Segoe UI"/>
          <w:i/>
          <w:iCs/>
          <w:szCs w:val="18"/>
        </w:rPr>
        <w:t xml:space="preserve"> and Clinical </w:t>
      </w:r>
      <w:proofErr w:type="spellStart"/>
      <w:r w:rsidRPr="006B33BD">
        <w:rPr>
          <w:rFonts w:cs="Segoe UI"/>
          <w:i/>
          <w:iCs/>
          <w:szCs w:val="18"/>
        </w:rPr>
        <w:t>Science</w:t>
      </w:r>
      <w:proofErr w:type="spellEnd"/>
      <w:r w:rsidRPr="006B33BD">
        <w:rPr>
          <w:rFonts w:cs="Segoe UI"/>
          <w:i/>
          <w:iCs/>
          <w:szCs w:val="18"/>
        </w:rPr>
        <w:t xml:space="preserve"> </w:t>
      </w:r>
      <w:proofErr w:type="spellStart"/>
      <w:r w:rsidRPr="006B33BD">
        <w:rPr>
          <w:rFonts w:cs="Segoe UI"/>
          <w:i/>
          <w:iCs/>
          <w:szCs w:val="18"/>
        </w:rPr>
        <w:t>Course</w:t>
      </w:r>
      <w:proofErr w:type="spellEnd"/>
      <w:r w:rsidRPr="006B33BD">
        <w:rPr>
          <w:rFonts w:cs="Segoe UI"/>
          <w:i/>
          <w:iCs/>
          <w:szCs w:val="18"/>
        </w:rPr>
        <w:t xml:space="preserve"> (BCSC), Complete Print Set</w:t>
      </w:r>
      <w:r w:rsidRPr="006B33BD">
        <w:rPr>
          <w:rFonts w:cs="Segoe UI"/>
          <w:szCs w:val="18"/>
        </w:rPr>
        <w:t xml:space="preserve">. USA: American </w:t>
      </w:r>
      <w:proofErr w:type="spellStart"/>
      <w:r w:rsidRPr="006B33BD">
        <w:rPr>
          <w:rFonts w:cs="Segoe UI"/>
          <w:szCs w:val="18"/>
        </w:rPr>
        <w:t>Academy</w:t>
      </w:r>
      <w:proofErr w:type="spellEnd"/>
      <w:r w:rsidRPr="006B33BD">
        <w:rPr>
          <w:rFonts w:cs="Segoe UI"/>
          <w:szCs w:val="18"/>
        </w:rPr>
        <w:t xml:space="preserve"> Of </w:t>
      </w:r>
      <w:proofErr w:type="spellStart"/>
      <w:r w:rsidRPr="006B33BD">
        <w:rPr>
          <w:rFonts w:cs="Segoe UI"/>
          <w:szCs w:val="18"/>
        </w:rPr>
        <w:t>Ophthalmology</w:t>
      </w:r>
      <w:proofErr w:type="spellEnd"/>
      <w:r w:rsidRPr="006B33BD">
        <w:rPr>
          <w:rFonts w:cs="Segoe UI"/>
          <w:szCs w:val="18"/>
        </w:rPr>
        <w:t>.</w:t>
      </w:r>
    </w:p>
    <w:p w:rsidR="00697EA6" w:rsidRDefault="00697EA6" w:rsidP="00697EA6">
      <w:pPr>
        <w:rPr>
          <w:rFonts w:cs="Segoe UI"/>
          <w:szCs w:val="18"/>
        </w:rPr>
      </w:pPr>
    </w:p>
    <w:p w:rsidR="00C436C9" w:rsidRDefault="00697EA6" w:rsidP="00697EA6">
      <w:pPr>
        <w:rPr>
          <w:szCs w:val="18"/>
        </w:rPr>
      </w:pPr>
      <w:r w:rsidRPr="006B33BD">
        <w:rPr>
          <w:rFonts w:cs="Segoe UI"/>
          <w:szCs w:val="18"/>
        </w:rPr>
        <w:t xml:space="preserve">Bowling, B. (2015). </w:t>
      </w:r>
      <w:r w:rsidRPr="006B33BD">
        <w:rPr>
          <w:rFonts w:cs="Segoe UI"/>
          <w:i/>
          <w:iCs/>
          <w:szCs w:val="18"/>
        </w:rPr>
        <w:t xml:space="preserve">Kanski’s Clinical </w:t>
      </w:r>
      <w:proofErr w:type="spellStart"/>
      <w:r w:rsidRPr="006B33BD">
        <w:rPr>
          <w:rFonts w:cs="Segoe UI"/>
          <w:i/>
          <w:iCs/>
          <w:szCs w:val="18"/>
        </w:rPr>
        <w:t>Ophthalmology</w:t>
      </w:r>
      <w:proofErr w:type="spellEnd"/>
      <w:r w:rsidRPr="006B33BD">
        <w:rPr>
          <w:rFonts w:cs="Segoe UI"/>
          <w:szCs w:val="18"/>
        </w:rPr>
        <w:t xml:space="preserve"> (8ste editie). Nederland: </w:t>
      </w:r>
      <w:proofErr w:type="spellStart"/>
      <w:r w:rsidRPr="006B33BD">
        <w:rPr>
          <w:rFonts w:cs="Segoe UI"/>
          <w:szCs w:val="18"/>
        </w:rPr>
        <w:t>Elsevier</w:t>
      </w:r>
      <w:proofErr w:type="spellEnd"/>
      <w:r w:rsidRPr="006B33BD">
        <w:rPr>
          <w:rFonts w:cs="Segoe UI"/>
          <w:szCs w:val="18"/>
        </w:rPr>
        <w:t xml:space="preserve"> Health Sciences.</w:t>
      </w:r>
    </w:p>
    <w:p w:rsidR="00C436C9" w:rsidRDefault="00C436C9" w:rsidP="00C436C9">
      <w:pPr>
        <w:rPr>
          <w:szCs w:val="18"/>
        </w:rPr>
      </w:pPr>
    </w:p>
    <w:p w:rsidR="00C436C9" w:rsidRPr="00C436C9" w:rsidRDefault="00C436C9" w:rsidP="00C436C9">
      <w:pPr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  <w:r w:rsidRPr="00C436C9">
        <w:rPr>
          <w:rFonts w:ascii="Calibri" w:eastAsia="Calibri" w:hAnsi="Calibri"/>
          <w:i/>
          <w:sz w:val="22"/>
          <w:szCs w:val="22"/>
          <w:u w:val="single"/>
          <w:lang w:eastAsia="en-US"/>
        </w:rPr>
        <w:t>Internetbronnen</w:t>
      </w:r>
    </w:p>
    <w:p w:rsidR="006B33BD" w:rsidRPr="00697EA6" w:rsidRDefault="006B33BD" w:rsidP="00697EA6">
      <w:pPr>
        <w:contextualSpacing/>
        <w:rPr>
          <w:szCs w:val="18"/>
        </w:rPr>
      </w:pPr>
      <w:r w:rsidRPr="00697EA6">
        <w:rPr>
          <w:rFonts w:cs="Segoe UI"/>
          <w:i/>
          <w:iCs/>
          <w:szCs w:val="18"/>
        </w:rPr>
        <w:t>Ogen: oogziekten - aandoeningen en operaties, oogheelkunde, oogziekenhuis -Oogartsen.nl</w:t>
      </w:r>
      <w:r w:rsidRPr="00697EA6">
        <w:rPr>
          <w:rFonts w:cs="Segoe UI"/>
          <w:szCs w:val="18"/>
        </w:rPr>
        <w:t xml:space="preserve">., van </w:t>
      </w:r>
      <w:hyperlink r:id="rId11" w:history="1">
        <w:r w:rsidRPr="00697EA6">
          <w:rPr>
            <w:rFonts w:cs="Segoe UI"/>
            <w:szCs w:val="18"/>
          </w:rPr>
          <w:t>https://www.oogartsen.nl/</w:t>
        </w:r>
      </w:hyperlink>
    </w:p>
    <w:p w:rsidR="00697EA6" w:rsidRDefault="00697EA6" w:rsidP="00697EA6">
      <w:pPr>
        <w:contextualSpacing/>
        <w:rPr>
          <w:rFonts w:cs="Segoe UI"/>
          <w:i/>
          <w:iCs/>
          <w:szCs w:val="18"/>
        </w:rPr>
      </w:pPr>
    </w:p>
    <w:p w:rsidR="006B33BD" w:rsidRPr="006B33BD" w:rsidRDefault="006B33BD" w:rsidP="00697EA6">
      <w:pPr>
        <w:contextualSpacing/>
        <w:rPr>
          <w:szCs w:val="18"/>
        </w:rPr>
      </w:pPr>
      <w:r w:rsidRPr="006B33BD">
        <w:rPr>
          <w:rFonts w:cs="Segoe UI"/>
          <w:i/>
          <w:iCs/>
          <w:szCs w:val="18"/>
        </w:rPr>
        <w:t>Nederlands Oogheelkundig Gezelschap</w:t>
      </w:r>
      <w:r w:rsidRPr="006B33BD">
        <w:rPr>
          <w:rFonts w:cs="Segoe UI"/>
          <w:szCs w:val="18"/>
        </w:rPr>
        <w:t>, van https://www.oogheelkunde.org/</w:t>
      </w:r>
    </w:p>
    <w:p w:rsidR="00DC6EC2" w:rsidRDefault="00DC6EC2" w:rsidP="00C436C9">
      <w:pPr>
        <w:rPr>
          <w:szCs w:val="18"/>
        </w:rPr>
      </w:pPr>
    </w:p>
    <w:p w:rsidR="006B33BD" w:rsidRDefault="006B33BD" w:rsidP="00C436C9">
      <w:pPr>
        <w:rPr>
          <w:szCs w:val="18"/>
        </w:rPr>
      </w:pPr>
    </w:p>
    <w:p w:rsidR="00DC6EC2" w:rsidRDefault="00DC6EC2" w:rsidP="00C436C9">
      <w:pPr>
        <w:rPr>
          <w:b/>
          <w:szCs w:val="18"/>
        </w:rPr>
      </w:pPr>
      <w:r w:rsidRPr="00DC6EC2">
        <w:rPr>
          <w:b/>
          <w:szCs w:val="18"/>
          <w:u w:val="single"/>
        </w:rPr>
        <w:t>Literatuurlijst Workshop ‘Ik zie, ik zie, wat jij niet ziet’. Infectiepreventie in de praktijk</w:t>
      </w:r>
    </w:p>
    <w:p w:rsidR="00622E88" w:rsidRDefault="00622E88" w:rsidP="00901B29">
      <w:pPr>
        <w:rPr>
          <w:i/>
          <w:u w:val="single"/>
        </w:rPr>
      </w:pPr>
    </w:p>
    <w:p w:rsidR="00901B29" w:rsidRPr="00901B29" w:rsidRDefault="00901B29" w:rsidP="00901B29">
      <w:pPr>
        <w:rPr>
          <w:i/>
          <w:u w:val="single"/>
        </w:rPr>
      </w:pPr>
      <w:r w:rsidRPr="00901B29">
        <w:rPr>
          <w:i/>
          <w:u w:val="single"/>
        </w:rPr>
        <w:t>Literatuur</w:t>
      </w:r>
    </w:p>
    <w:p w:rsidR="00901B29" w:rsidRPr="00901B29" w:rsidRDefault="00901B29" w:rsidP="00901B29">
      <w:proofErr w:type="spellStart"/>
      <w:r w:rsidRPr="00901B29">
        <w:t>NHG-praktijkaccreditering</w:t>
      </w:r>
      <w:proofErr w:type="spellEnd"/>
      <w:r w:rsidRPr="00901B29">
        <w:t xml:space="preserve"> </w:t>
      </w:r>
      <w:proofErr w:type="spellStart"/>
      <w:r w:rsidRPr="00901B29">
        <w:t>b.v</w:t>
      </w:r>
      <w:proofErr w:type="spellEnd"/>
      <w:r w:rsidRPr="00901B29">
        <w:t>. (2015) Kwaliteitsnormen voor de huisartsenpraktijk versie 2.1, artikel 12</w:t>
      </w:r>
    </w:p>
    <w:p w:rsidR="00901B29" w:rsidRPr="00901B29" w:rsidRDefault="00901B29" w:rsidP="00901B29"/>
    <w:p w:rsidR="00901B29" w:rsidRPr="00901B29" w:rsidRDefault="00901B29" w:rsidP="00901B29">
      <w:proofErr w:type="spellStart"/>
      <w:r w:rsidRPr="00901B29">
        <w:t>NHG-praktijkaccreditering</w:t>
      </w:r>
      <w:proofErr w:type="spellEnd"/>
      <w:r w:rsidRPr="00901B29">
        <w:t xml:space="preserve"> </w:t>
      </w:r>
      <w:proofErr w:type="spellStart"/>
      <w:r w:rsidRPr="00901B29">
        <w:t>b.v</w:t>
      </w:r>
      <w:proofErr w:type="spellEnd"/>
      <w:r w:rsidRPr="00901B29">
        <w:t>. (2019, juli) Actuele informatie bij kwaliteitsnormen voor de huisartsenpraktijk</w:t>
      </w:r>
    </w:p>
    <w:p w:rsidR="00901B29" w:rsidRPr="00901B29" w:rsidRDefault="00901B29" w:rsidP="00901B29"/>
    <w:p w:rsidR="00901B29" w:rsidRPr="00901B29" w:rsidRDefault="00901B29" w:rsidP="00901B29">
      <w:pPr>
        <w:rPr>
          <w:i/>
          <w:u w:val="single"/>
        </w:rPr>
      </w:pPr>
      <w:r w:rsidRPr="00901B29">
        <w:rPr>
          <w:i/>
          <w:u w:val="single"/>
        </w:rPr>
        <w:t>Richtlijnen</w:t>
      </w:r>
    </w:p>
    <w:p w:rsidR="00901B29" w:rsidRPr="00901B29" w:rsidRDefault="00901B29" w:rsidP="00901B29">
      <w:r w:rsidRPr="00901B29">
        <w:t>Nederlands Huisartsen Genootschap (2020). NHG-Standaard Richtlijn Infectiepreventie in de huisartsen- en verloskundigenpraktijk</w:t>
      </w:r>
    </w:p>
    <w:p w:rsidR="00901B29" w:rsidRPr="00901B29" w:rsidRDefault="00901B29" w:rsidP="00901B29"/>
    <w:p w:rsidR="00901B29" w:rsidRPr="00901B29" w:rsidRDefault="00901B29" w:rsidP="00901B29">
      <w:r w:rsidRPr="00901B29">
        <w:t>NEN-EN 420 + A1 beschermende handschoenen; algemene eisen en beproevingsmethode</w:t>
      </w:r>
    </w:p>
    <w:p w:rsidR="00901B29" w:rsidRPr="00901B29" w:rsidRDefault="00901B29" w:rsidP="00901B29"/>
    <w:p w:rsidR="00901B29" w:rsidRPr="00901B29" w:rsidRDefault="00901B29" w:rsidP="00901B29">
      <w:r w:rsidRPr="00901B29">
        <w:t>NEN-EN 374-1, 2 beschermende handschoenen tegen micro-organisme</w:t>
      </w:r>
    </w:p>
    <w:p w:rsidR="00901B29" w:rsidRPr="00901B29" w:rsidRDefault="00901B29" w:rsidP="00901B29"/>
    <w:p w:rsidR="00901B29" w:rsidRPr="00901B29" w:rsidRDefault="00901B29" w:rsidP="00901B29">
      <w:r w:rsidRPr="00901B29">
        <w:t>NEN-EN 455-1, 2, 3, 4 medische handschoenen voor eenmalig gebruik</w:t>
      </w:r>
    </w:p>
    <w:p w:rsidR="00901B29" w:rsidRPr="00901B29" w:rsidRDefault="00901B29" w:rsidP="00901B29"/>
    <w:p w:rsidR="00901B29" w:rsidRPr="00901B29" w:rsidRDefault="00901B29" w:rsidP="00901B29">
      <w:r w:rsidRPr="00901B29">
        <w:t>NEN-EN 14683 chirurgisch mondneusmasker</w:t>
      </w:r>
    </w:p>
    <w:p w:rsidR="00901B29" w:rsidRPr="00901B29" w:rsidRDefault="00901B29" w:rsidP="00901B29"/>
    <w:p w:rsidR="00901B29" w:rsidRPr="00901B29" w:rsidRDefault="00901B29" w:rsidP="00901B29">
      <w:r w:rsidRPr="00901B29">
        <w:t>NEN R3501-01 houdbaarheid van gesteriliseerde medische hulpmiddelen in instellingen</w:t>
      </w:r>
    </w:p>
    <w:p w:rsidR="00901B29" w:rsidRPr="00901B29" w:rsidRDefault="00901B29" w:rsidP="00901B29"/>
    <w:p w:rsidR="00901B29" w:rsidRPr="00901B29" w:rsidRDefault="00901B29" w:rsidP="00901B29">
      <w:proofErr w:type="spellStart"/>
      <w:r w:rsidRPr="00901B29">
        <w:t>KNOV-standaard</w:t>
      </w:r>
      <w:proofErr w:type="spellEnd"/>
      <w:r w:rsidRPr="00901B29">
        <w:t xml:space="preserve"> Hygiëne en Infectiepreventie</w:t>
      </w:r>
    </w:p>
    <w:p w:rsidR="00901B29" w:rsidRPr="00901B29" w:rsidRDefault="00901B29" w:rsidP="00901B29"/>
    <w:p w:rsidR="00901B29" w:rsidRPr="00901B29" w:rsidRDefault="00901B29" w:rsidP="00901B29">
      <w:pPr>
        <w:rPr>
          <w:i/>
          <w:u w:val="single"/>
        </w:rPr>
      </w:pPr>
      <w:bookmarkStart w:id="0" w:name="_GoBack"/>
      <w:r w:rsidRPr="00901B29">
        <w:rPr>
          <w:i/>
          <w:u w:val="single"/>
        </w:rPr>
        <w:t xml:space="preserve">Internetbronnen </w:t>
      </w:r>
    </w:p>
    <w:bookmarkEnd w:id="0"/>
    <w:p w:rsidR="00901B29" w:rsidRPr="00901B29" w:rsidRDefault="00901B29" w:rsidP="00901B29">
      <w:r w:rsidRPr="00901B29">
        <w:t xml:space="preserve">Loogman, M (2017, mei) </w:t>
      </w:r>
      <w:proofErr w:type="spellStart"/>
      <w:r w:rsidRPr="00901B29">
        <w:t>Praktijkorganisatierichtlijn</w:t>
      </w:r>
      <w:proofErr w:type="spellEnd"/>
      <w:r w:rsidRPr="00901B29">
        <w:t xml:space="preserve"> Infectiepreventie in de huisartsen- en </w:t>
      </w:r>
      <w:proofErr w:type="spellStart"/>
      <w:r w:rsidRPr="00901B29">
        <w:t>verloskudngienpraktijk</w:t>
      </w:r>
      <w:proofErr w:type="spellEnd"/>
      <w:r w:rsidRPr="00901B29">
        <w:t>.</w:t>
      </w:r>
    </w:p>
    <w:p w:rsidR="00901B29" w:rsidRPr="00901B29" w:rsidRDefault="00901B29" w:rsidP="00901B29">
      <w:hyperlink r:id="rId12" w:history="1">
        <w:r w:rsidRPr="00901B29">
          <w:rPr>
            <w:color w:val="0000FF" w:themeColor="hyperlink"/>
            <w:u w:val="single"/>
          </w:rPr>
          <w:t>https://www.nhg.org/sites/default/files/content/nhg_org/uploads/hw_mei_2017_praktijkorganisatierichtlijn_infectiepreventie_in_de_huisartsen-_en_verloskundigenpraktijk.pdf</w:t>
        </w:r>
      </w:hyperlink>
    </w:p>
    <w:p w:rsidR="00901B29" w:rsidRPr="00901B29" w:rsidRDefault="00901B29" w:rsidP="00901B29"/>
    <w:p w:rsidR="00901B29" w:rsidRPr="00901B29" w:rsidRDefault="00901B29" w:rsidP="00901B29">
      <w:r w:rsidRPr="00901B29">
        <w:t>Nederlands Huisartsen Genootschap (2020, januari) richtlijnen &amp; praktijk</w:t>
      </w:r>
    </w:p>
    <w:p w:rsidR="00901B29" w:rsidRPr="00901B29" w:rsidRDefault="00901B29" w:rsidP="00901B29">
      <w:hyperlink r:id="rId13" w:history="1">
        <w:r w:rsidRPr="00901B29">
          <w:rPr>
            <w:color w:val="0000FF" w:themeColor="hyperlink"/>
            <w:u w:val="single"/>
          </w:rPr>
          <w:t>www.nhg.org</w:t>
        </w:r>
      </w:hyperlink>
    </w:p>
    <w:p w:rsidR="00901B29" w:rsidRPr="00901B29" w:rsidRDefault="00901B29" w:rsidP="00901B29">
      <w:pPr>
        <w:numPr>
          <w:ilvl w:val="0"/>
          <w:numId w:val="3"/>
        </w:numPr>
        <w:contextualSpacing/>
      </w:pPr>
      <w:r w:rsidRPr="00901B29">
        <w:t xml:space="preserve">Persoonlijke hygiëne </w:t>
      </w:r>
      <w:hyperlink r:id="rId14" w:history="1">
        <w:r w:rsidRPr="00901B29">
          <w:rPr>
            <w:color w:val="0000FF" w:themeColor="hyperlink"/>
            <w:u w:val="single"/>
          </w:rPr>
          <w:t>https://www.nhg.org/themas/publicaties/persoonlijke-hygiene</w:t>
        </w:r>
      </w:hyperlink>
    </w:p>
    <w:p w:rsidR="00901B29" w:rsidRPr="00901B29" w:rsidRDefault="00901B29" w:rsidP="00901B29">
      <w:pPr>
        <w:numPr>
          <w:ilvl w:val="0"/>
          <w:numId w:val="3"/>
        </w:numPr>
        <w:contextualSpacing/>
      </w:pPr>
      <w:r w:rsidRPr="00901B29">
        <w:t xml:space="preserve">Handhygiëne </w:t>
      </w:r>
      <w:hyperlink r:id="rId15" w:history="1">
        <w:r w:rsidRPr="00901B29">
          <w:rPr>
            <w:color w:val="0000FF" w:themeColor="hyperlink"/>
            <w:u w:val="single"/>
          </w:rPr>
          <w:t>https://www.nhg.org/themas/publicaties/handhygi%C3%ABne</w:t>
        </w:r>
      </w:hyperlink>
    </w:p>
    <w:p w:rsidR="00901B29" w:rsidRPr="00901B29" w:rsidRDefault="00901B29" w:rsidP="00901B29">
      <w:pPr>
        <w:numPr>
          <w:ilvl w:val="0"/>
          <w:numId w:val="3"/>
        </w:numPr>
        <w:contextualSpacing/>
      </w:pPr>
      <w:r w:rsidRPr="00901B29">
        <w:t xml:space="preserve">Persoonlijke beschermingsmiddelen </w:t>
      </w:r>
      <w:hyperlink r:id="rId16" w:history="1">
        <w:r w:rsidRPr="00901B29">
          <w:rPr>
            <w:color w:val="0000FF" w:themeColor="hyperlink"/>
            <w:u w:val="single"/>
          </w:rPr>
          <w:t>https://www.nhg.org/themas/publicaties/persoonlijke-beschermingsmiddelen</w:t>
        </w:r>
      </w:hyperlink>
    </w:p>
    <w:p w:rsidR="00901B29" w:rsidRPr="00901B29" w:rsidRDefault="00901B29" w:rsidP="00901B29">
      <w:pPr>
        <w:numPr>
          <w:ilvl w:val="0"/>
          <w:numId w:val="3"/>
        </w:numPr>
        <w:contextualSpacing/>
      </w:pPr>
      <w:r w:rsidRPr="00901B29">
        <w:t xml:space="preserve">Reiniging en desinfectie of sterilisatie van instrumentarium </w:t>
      </w:r>
      <w:hyperlink r:id="rId17" w:history="1">
        <w:r w:rsidRPr="00901B29">
          <w:rPr>
            <w:color w:val="0000FF" w:themeColor="hyperlink"/>
            <w:u w:val="single"/>
          </w:rPr>
          <w:t>https://www.nhg.org/themas/publicaties/reiniging-en-desinfectie-sterilisatie-van-instrumentarium</w:t>
        </w:r>
      </w:hyperlink>
    </w:p>
    <w:p w:rsidR="00901B29" w:rsidRPr="00901B29" w:rsidRDefault="00901B29" w:rsidP="00901B29">
      <w:pPr>
        <w:numPr>
          <w:ilvl w:val="0"/>
          <w:numId w:val="3"/>
        </w:numPr>
        <w:contextualSpacing/>
      </w:pPr>
      <w:r w:rsidRPr="00901B29">
        <w:t xml:space="preserve">Infectiepreventief handelen in specifieke situaties in de praktijk </w:t>
      </w:r>
      <w:hyperlink r:id="rId18" w:history="1">
        <w:r w:rsidRPr="00901B29">
          <w:rPr>
            <w:color w:val="0000FF" w:themeColor="hyperlink"/>
            <w:u w:val="single"/>
          </w:rPr>
          <w:t>https://www.nhg.org/themas/publicaties/infectiepreventief-handelen-specifieke-situaties-de-praktijk</w:t>
        </w:r>
      </w:hyperlink>
    </w:p>
    <w:p w:rsidR="00DC6EC2" w:rsidRPr="00DC6EC2" w:rsidRDefault="00DC6EC2" w:rsidP="00DC6EC2">
      <w:pPr>
        <w:rPr>
          <w:szCs w:val="18"/>
        </w:rPr>
      </w:pPr>
    </w:p>
    <w:sectPr w:rsidR="00DC6EC2" w:rsidRPr="00DC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7A51"/>
    <w:multiLevelType w:val="hybridMultilevel"/>
    <w:tmpl w:val="93B04ACC"/>
    <w:lvl w:ilvl="0" w:tplc="0BC0018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70E048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08CD5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354F3F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E22839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65EC8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7BCD18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738E6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70C24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595841D3"/>
    <w:multiLevelType w:val="hybridMultilevel"/>
    <w:tmpl w:val="10AACB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167"/>
    <w:multiLevelType w:val="hybridMultilevel"/>
    <w:tmpl w:val="D5C47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8E"/>
    <w:rsid w:val="00071EE8"/>
    <w:rsid w:val="00230B8E"/>
    <w:rsid w:val="00622E88"/>
    <w:rsid w:val="00697EA6"/>
    <w:rsid w:val="006B33BD"/>
    <w:rsid w:val="006C225D"/>
    <w:rsid w:val="00702622"/>
    <w:rsid w:val="00771D2D"/>
    <w:rsid w:val="008548D5"/>
    <w:rsid w:val="00901B29"/>
    <w:rsid w:val="00926186"/>
    <w:rsid w:val="00AB347F"/>
    <w:rsid w:val="00B04D7A"/>
    <w:rsid w:val="00B22A2D"/>
    <w:rsid w:val="00B76185"/>
    <w:rsid w:val="00C436C9"/>
    <w:rsid w:val="00C747FD"/>
    <w:rsid w:val="00CB1659"/>
    <w:rsid w:val="00D33368"/>
    <w:rsid w:val="00DC6EC2"/>
    <w:rsid w:val="00F2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0B8E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0B8E"/>
    <w:rPr>
      <w:color w:val="0000FF"/>
      <w:u w:val="single"/>
    </w:rPr>
  </w:style>
  <w:style w:type="character" w:styleId="GevolgdeHyperlink">
    <w:name w:val="FollowedHyperlink"/>
    <w:basedOn w:val="Standaardalinea-lettertype"/>
    <w:rsid w:val="00CB16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0B8E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0B8E"/>
    <w:rPr>
      <w:color w:val="0000FF"/>
      <w:u w:val="single"/>
    </w:rPr>
  </w:style>
  <w:style w:type="character" w:styleId="GevolgdeHyperlink">
    <w:name w:val="FollowedHyperlink"/>
    <w:basedOn w:val="Standaardalinea-lettertype"/>
    <w:rsid w:val="00CB16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tstichting.nl" TargetMode="External"/><Relationship Id="rId13" Type="http://schemas.openxmlformats.org/officeDocument/2006/relationships/hyperlink" Target="http://www.nhg.org" TargetMode="External"/><Relationship Id="rId18" Type="http://schemas.openxmlformats.org/officeDocument/2006/relationships/hyperlink" Target="https://www.nhg.org/themas/publicaties/infectiepreventief-handelen-specifieke-situaties-de-praktij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nnisnetwerkNederland.nl" TargetMode="External"/><Relationship Id="rId12" Type="http://schemas.openxmlformats.org/officeDocument/2006/relationships/hyperlink" Target="https://www.nhg.org/sites/default/files/content/nhg_org/uploads/hw_mei_2017_praktijkorganisatierichtlijn_infectiepreventie_in_de_huisartsen-_en_verloskundigenpraktijk.pdf" TargetMode="External"/><Relationship Id="rId17" Type="http://schemas.openxmlformats.org/officeDocument/2006/relationships/hyperlink" Target="https://www.nhg.org/themas/publicaties/reiniging-en-desinfectie-sterilisatie-van-instrumentariu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g.org/themas/publicaties/persoonlijke-beschermingsmiddel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ichtlijnendatabase.nl/richtlijn/herseninfarct_en_hersenbloeding/startpagina_herseninfarct_-bloeding.html/" TargetMode="External"/><Relationship Id="rId11" Type="http://schemas.openxmlformats.org/officeDocument/2006/relationships/hyperlink" Target="https://www.oogartsen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g.org/themas/publicaties/handhygi%C3%ABne" TargetMode="External"/><Relationship Id="rId10" Type="http://schemas.openxmlformats.org/officeDocument/2006/relationships/hyperlink" Target="https://www.volksgezondheidenzorg.info/onderwerp/beroerte/cijfers-context/huidige-situat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rsenletsel.nl/" TargetMode="External"/><Relationship Id="rId14" Type="http://schemas.openxmlformats.org/officeDocument/2006/relationships/hyperlink" Target="https://www.nhg.org/themas/publicaties/persoonlijke-hygien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9BE44353</Template>
  <TotalTime>91</TotalTime>
  <Pages>2</Pages>
  <Words>213</Words>
  <Characters>3671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p277656</dc:creator>
  <cp:lastModifiedBy>p277656</cp:lastModifiedBy>
  <cp:revision>12</cp:revision>
  <dcterms:created xsi:type="dcterms:W3CDTF">2020-01-22T12:56:00Z</dcterms:created>
  <dcterms:modified xsi:type="dcterms:W3CDTF">2020-01-28T14:38:00Z</dcterms:modified>
</cp:coreProperties>
</file>