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C25A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025" cy="5448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025" cy="544830"/>
                    </a:xfrm>
                    <a:prstGeom prst="rect">
                      <a:avLst/>
                    </a:prstGeom>
                    <a:noFill/>
                    <a:ln>
                      <a:noFill/>
                    </a:ln>
                  </pic:spPr>
                </pic:pic>
              </a:graphicData>
            </a:graphic>
          </wp:inline>
        </w:drawing>
      </w:r>
    </w:p>
    <w:p w:rsidR="000C25A0" w:rsidRDefault="000C25A0" w:rsidP="000C25A0">
      <w:pPr>
        <w:divId w:val="2043556648"/>
        <w:rPr>
          <w:rFonts w:ascii="Verdana" w:hAnsi="Verdana"/>
          <w:sz w:val="18"/>
          <w:szCs w:val="18"/>
        </w:rPr>
      </w:pPr>
      <w:r>
        <w:rPr>
          <w:rFonts w:ascii="Verdana" w:eastAsia="Times New Roman" w:hAnsi="Verdana"/>
          <w:b/>
          <w:bCs/>
          <w:sz w:val="18"/>
          <w:szCs w:val="18"/>
        </w:rPr>
        <w:t>Werkbegeleiding en supervisie</w:t>
      </w:r>
      <w:r>
        <w:rPr>
          <w:rFonts w:ascii="Verdana" w:eastAsia="Times New Roman" w:hAnsi="Verdana"/>
          <w:sz w:val="18"/>
          <w:szCs w:val="18"/>
        </w:rPr>
        <w:br/>
      </w:r>
    </w:p>
    <w:p w:rsidR="00000000" w:rsidRDefault="000C25A0" w:rsidP="000C25A0">
      <w:pPr>
        <w:divId w:val="2043556648"/>
        <w:rPr>
          <w:rFonts w:ascii="Verdana" w:hAnsi="Verdana"/>
          <w:sz w:val="18"/>
          <w:szCs w:val="18"/>
        </w:rPr>
      </w:pPr>
      <w:r>
        <w:rPr>
          <w:rFonts w:ascii="Verdana" w:hAnsi="Verdana"/>
          <w:sz w:val="18"/>
          <w:szCs w:val="18"/>
        </w:rPr>
        <w:t>Opleiders en ggz-instellingen besteden steeds meer aa</w:t>
      </w:r>
      <w:r>
        <w:rPr>
          <w:rFonts w:ascii="Verdana" w:hAnsi="Verdana"/>
          <w:sz w:val="18"/>
          <w:szCs w:val="18"/>
        </w:rPr>
        <w:t xml:space="preserve">ndacht aan werkbegeleiding en supervisie, omdat dit verplichte onderdelen zijn van opleidingen tot gezondheidszorgpsycholoog, psychotherapeut en klinisch (neuro-) psycholoog. Werkbegeleiding wordt ook nogal eens ingezet bij (nieuwe) </w:t>
      </w:r>
      <w:proofErr w:type="spellStart"/>
      <w:r>
        <w:rPr>
          <w:rFonts w:ascii="Verdana" w:hAnsi="Verdana"/>
          <w:sz w:val="18"/>
          <w:szCs w:val="18"/>
        </w:rPr>
        <w:t>collegas</w:t>
      </w:r>
      <w:proofErr w:type="spellEnd"/>
      <w:r>
        <w:rPr>
          <w:rFonts w:ascii="Verdana" w:hAnsi="Verdana"/>
          <w:sz w:val="18"/>
          <w:szCs w:val="18"/>
        </w:rPr>
        <w:t xml:space="preserve"> die niet in op</w:t>
      </w:r>
      <w:r>
        <w:rPr>
          <w:rFonts w:ascii="Verdana" w:hAnsi="Verdana"/>
          <w:sz w:val="18"/>
          <w:szCs w:val="18"/>
        </w:rPr>
        <w:t xml:space="preserve">leiding zijn, om hen in te wijden in het vak en om de kwaliteit van de patiëntenzorg te bewaken. </w:t>
      </w:r>
      <w:r>
        <w:rPr>
          <w:rFonts w:ascii="Verdana" w:hAnsi="Verdana"/>
          <w:sz w:val="18"/>
          <w:szCs w:val="18"/>
        </w:rPr>
        <w:br/>
        <w:t>In de cursus worden deze vormen van deskundigheidsbevordering - supervisie en werkbegeleiding - als een samenhangend pakket aangeboden, omdat er naast duideli</w:t>
      </w:r>
      <w:r>
        <w:rPr>
          <w:rFonts w:ascii="Verdana" w:hAnsi="Verdana"/>
          <w:sz w:val="18"/>
          <w:szCs w:val="18"/>
        </w:rPr>
        <w:t xml:space="preserve">jke verschillen in werkvormen ook duidelijke inhoudelijke overeenkomsten zijn wat de doelen en de werkwijze betreft. </w:t>
      </w:r>
      <w:r>
        <w:rPr>
          <w:rFonts w:ascii="Verdana" w:hAnsi="Verdana"/>
          <w:sz w:val="18"/>
          <w:szCs w:val="18"/>
        </w:rPr>
        <w:br/>
        <w:t xml:space="preserve">In de context van de opleiding hebben de werkbegeleider en de supervisor een grote invloed op de ontwikkeling van de </w:t>
      </w:r>
      <w:proofErr w:type="spellStart"/>
      <w:r>
        <w:rPr>
          <w:rFonts w:ascii="Verdana" w:hAnsi="Verdana"/>
          <w:sz w:val="18"/>
          <w:szCs w:val="18"/>
        </w:rPr>
        <w:t>opleideling</w:t>
      </w:r>
      <w:proofErr w:type="spellEnd"/>
      <w:r>
        <w:rPr>
          <w:rFonts w:ascii="Verdana" w:hAnsi="Verdana"/>
          <w:sz w:val="18"/>
          <w:szCs w:val="18"/>
        </w:rPr>
        <w:t xml:space="preserve">. </w:t>
      </w:r>
      <w:r>
        <w:rPr>
          <w:rFonts w:ascii="Verdana" w:hAnsi="Verdana"/>
          <w:sz w:val="18"/>
          <w:szCs w:val="18"/>
        </w:rPr>
        <w:br/>
        <w:t>Zowel i</w:t>
      </w:r>
      <w:r>
        <w:rPr>
          <w:rFonts w:ascii="Verdana" w:hAnsi="Verdana"/>
          <w:sz w:val="18"/>
          <w:szCs w:val="18"/>
        </w:rPr>
        <w:t>n werkbegeleiding als in supervisie gaat het om bevorderen van een leerproces. De werkbegeleider/supervisor moet kennis en vaardigheden hebben met betrekking tot leerprocessen en in het creëren van een veilige en uitdagende leercontext. Beide vormen van be</w:t>
      </w:r>
      <w:r>
        <w:rPr>
          <w:rFonts w:ascii="Verdana" w:hAnsi="Verdana"/>
          <w:sz w:val="18"/>
          <w:szCs w:val="18"/>
        </w:rPr>
        <w:t>geleiding zijn gericht op het ontwikkelen van een professionele attitude in behandelingen en het goed kunnen hanteren van de therapeutische relatie.</w:t>
      </w:r>
      <w:r>
        <w:rPr>
          <w:rFonts w:ascii="Verdana" w:hAnsi="Verdana"/>
          <w:sz w:val="18"/>
          <w:szCs w:val="18"/>
        </w:rPr>
        <w:br/>
        <w:t xml:space="preserve">Een verschil is dat de werkbegeleider de </w:t>
      </w:r>
      <w:proofErr w:type="spellStart"/>
      <w:r>
        <w:rPr>
          <w:rFonts w:ascii="Verdana" w:hAnsi="Verdana"/>
          <w:sz w:val="18"/>
          <w:szCs w:val="18"/>
        </w:rPr>
        <w:t>opleideling</w:t>
      </w:r>
      <w:proofErr w:type="spellEnd"/>
      <w:r>
        <w:rPr>
          <w:rFonts w:ascii="Verdana" w:hAnsi="Verdana"/>
          <w:sz w:val="18"/>
          <w:szCs w:val="18"/>
        </w:rPr>
        <w:t xml:space="preserve"> frequent ziet en letterlijk dicht bij de </w:t>
      </w:r>
      <w:proofErr w:type="spellStart"/>
      <w:r>
        <w:rPr>
          <w:rFonts w:ascii="Verdana" w:hAnsi="Verdana"/>
          <w:sz w:val="18"/>
          <w:szCs w:val="18"/>
        </w:rPr>
        <w:t>opleideling</w:t>
      </w:r>
      <w:proofErr w:type="spellEnd"/>
      <w:r>
        <w:rPr>
          <w:rFonts w:ascii="Verdana" w:hAnsi="Verdana"/>
          <w:sz w:val="18"/>
          <w:szCs w:val="18"/>
        </w:rPr>
        <w:t xml:space="preserve"> z</w:t>
      </w:r>
      <w:r>
        <w:rPr>
          <w:rFonts w:ascii="Verdana" w:hAnsi="Verdana"/>
          <w:sz w:val="18"/>
          <w:szCs w:val="18"/>
        </w:rPr>
        <w:t xml:space="preserve">it, en dat de supervisor op afstand begeleidt. Beide hebben net een iets andere verantwoordelijkheid waar het gaat om de patiëntenzorg, eventuele tuchtrechtelijke verantwoordelijkheid en de terugkoppeling van de vorderingen naar de opleiding toe. </w:t>
      </w:r>
      <w:r>
        <w:rPr>
          <w:rFonts w:ascii="Verdana" w:hAnsi="Verdana"/>
          <w:sz w:val="18"/>
          <w:szCs w:val="18"/>
        </w:rPr>
        <w:br/>
        <w:t>De sterk</w:t>
      </w:r>
      <w:r>
        <w:rPr>
          <w:rFonts w:ascii="Verdana" w:hAnsi="Verdana"/>
          <w:sz w:val="18"/>
          <w:szCs w:val="18"/>
        </w:rPr>
        <w:t xml:space="preserve">e veranderingen in de </w:t>
      </w:r>
      <w:proofErr w:type="spellStart"/>
      <w:r>
        <w:rPr>
          <w:rFonts w:ascii="Verdana" w:hAnsi="Verdana"/>
          <w:sz w:val="18"/>
          <w:szCs w:val="18"/>
        </w:rPr>
        <w:t>GGz</w:t>
      </w:r>
      <w:proofErr w:type="spellEnd"/>
      <w:r>
        <w:rPr>
          <w:rFonts w:ascii="Verdana" w:hAnsi="Verdana"/>
          <w:sz w:val="18"/>
          <w:szCs w:val="18"/>
        </w:rPr>
        <w:t xml:space="preserve"> hebben afgelopen jaren effect gehad op de begeleidingsstructuur, en vragen soms nieuwe vaardigheden van werkbegeleiders en </w:t>
      </w:r>
      <w:proofErr w:type="spellStart"/>
      <w:r>
        <w:rPr>
          <w:rFonts w:ascii="Verdana" w:hAnsi="Verdana"/>
          <w:sz w:val="18"/>
          <w:szCs w:val="18"/>
        </w:rPr>
        <w:t>supervisoren</w:t>
      </w:r>
      <w:proofErr w:type="spellEnd"/>
      <w:r>
        <w:rPr>
          <w:rFonts w:ascii="Verdana" w:hAnsi="Verdana"/>
          <w:sz w:val="18"/>
          <w:szCs w:val="18"/>
        </w:rPr>
        <w:t xml:space="preserve">. </w:t>
      </w:r>
      <w:r>
        <w:rPr>
          <w:rFonts w:ascii="Verdana" w:hAnsi="Verdana"/>
          <w:sz w:val="18"/>
          <w:szCs w:val="18"/>
        </w:rPr>
        <w:br/>
        <w:t xml:space="preserve">In het kader BIG-opleidingen wordt daarnaast een grotere vaardigheid van opleiders verwacht </w:t>
      </w:r>
      <w:r>
        <w:rPr>
          <w:rFonts w:ascii="Verdana" w:hAnsi="Verdana"/>
          <w:sz w:val="18"/>
          <w:szCs w:val="18"/>
        </w:rPr>
        <w:t>ten aanzien van het competentiegericht opleiden.</w:t>
      </w:r>
    </w:p>
    <w:p w:rsidR="00000000" w:rsidRDefault="000C25A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oriëntatie op basisbegrippen supervisie, werkbegeleiding en intervisie </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zicht krijgen op ontwikkelingen t.a.v. </w:t>
      </w:r>
      <w:proofErr w:type="spellStart"/>
      <w:r>
        <w:rPr>
          <w:rFonts w:ascii="Verdana" w:eastAsia="Times New Roman" w:hAnsi="Verdana"/>
          <w:sz w:val="18"/>
          <w:szCs w:val="18"/>
        </w:rPr>
        <w:t>werkbegeleiden</w:t>
      </w:r>
      <w:proofErr w:type="spellEnd"/>
      <w:r>
        <w:rPr>
          <w:rFonts w:ascii="Verdana" w:eastAsia="Times New Roman" w:hAnsi="Verdana"/>
          <w:sz w:val="18"/>
          <w:szCs w:val="18"/>
        </w:rPr>
        <w:t xml:space="preserve"> en supervisie</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zicht krijgen op leerprocessen</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visie ontwikkelen m.b.t.</w:t>
      </w:r>
      <w:r>
        <w:rPr>
          <w:rFonts w:ascii="Verdana" w:eastAsia="Times New Roman" w:hAnsi="Verdana"/>
          <w:sz w:val="18"/>
          <w:szCs w:val="18"/>
        </w:rPr>
        <w:t xml:space="preserve"> functie van </w:t>
      </w:r>
      <w:proofErr w:type="spellStart"/>
      <w:r>
        <w:rPr>
          <w:rFonts w:ascii="Verdana" w:eastAsia="Times New Roman" w:hAnsi="Verdana"/>
          <w:sz w:val="18"/>
          <w:szCs w:val="18"/>
        </w:rPr>
        <w:t>werkbegeleiden</w:t>
      </w:r>
      <w:proofErr w:type="spellEnd"/>
      <w:r>
        <w:rPr>
          <w:rFonts w:ascii="Verdana" w:eastAsia="Times New Roman" w:hAnsi="Verdana"/>
          <w:sz w:val="18"/>
          <w:szCs w:val="18"/>
        </w:rPr>
        <w:t xml:space="preserve"> en supervisie</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benoemen van een veilige leercontext</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opstellen leerdoelen en leercontract</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bevorderen van een professionele attitude</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hanteren van een therapeutische alliantie als effectieve methode</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tijdig her</w:t>
      </w:r>
      <w:r>
        <w:rPr>
          <w:rFonts w:ascii="Verdana" w:eastAsia="Times New Roman" w:hAnsi="Verdana"/>
          <w:sz w:val="18"/>
          <w:szCs w:val="18"/>
        </w:rPr>
        <w:t>kennen van improductieve en disfunctionele interacties</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feedback te geven en te ontvangen als middel om improductieve interacties te doorbreken en relaties te repareren</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verkrijgen in de relatie en relatieproblemen tussen supervisant en werkb</w:t>
      </w:r>
      <w:r>
        <w:rPr>
          <w:rFonts w:ascii="Verdana" w:eastAsia="Times New Roman" w:hAnsi="Verdana"/>
          <w:sz w:val="18"/>
          <w:szCs w:val="18"/>
        </w:rPr>
        <w:t>egeleider/supervisor</w:t>
      </w:r>
    </w:p>
    <w:p w:rsidR="00000000" w:rsidRDefault="000C25A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verwerven in de veranderende rol van opleiders in competentiegerichte opleidingen</w:t>
      </w:r>
    </w:p>
    <w:p w:rsidR="00000000" w:rsidRDefault="000C25A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Aan de orde komen:</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definiëring van doelen en w</w:t>
      </w:r>
      <w:r>
        <w:rPr>
          <w:rFonts w:ascii="Verdana" w:eastAsia="Times New Roman" w:hAnsi="Verdana"/>
          <w:sz w:val="18"/>
          <w:szCs w:val="18"/>
        </w:rPr>
        <w:t>erkwijze van supervisie en werkbegeleiding</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theoretische achtergronden en leeraspecten van supervisie en werkbegeleiding</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supervisiecompetenties</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algemene aspecten van supervisie en werkbegeleiding: overeenkomsten en verschillen; afbakening ten opzichte va</w:t>
      </w:r>
      <w:r>
        <w:rPr>
          <w:rFonts w:ascii="Verdana" w:eastAsia="Times New Roman" w:hAnsi="Verdana"/>
          <w:sz w:val="18"/>
          <w:szCs w:val="18"/>
        </w:rPr>
        <w:t>n psychotherapie en leertherapie; parallelle kenmerken in deze processen</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formele en organisatorische aspecten van supervisie: formuleren van leerdoelen, opstellen van een contract, maken van afspraken over bevoegdheden en verantwoordelijkheden</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beroepseth</w:t>
      </w:r>
      <w:r>
        <w:rPr>
          <w:rFonts w:ascii="Verdana" w:eastAsia="Times New Roman" w:hAnsi="Verdana"/>
          <w:sz w:val="18"/>
          <w:szCs w:val="18"/>
        </w:rPr>
        <w:t>ische en culturele aspecten van supervisie</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praktijk van supervisie en werkbegeleiding: aspecten van de samenwerking en persoonsgerichte supervisie</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methodische supervisie</w:t>
      </w:r>
    </w:p>
    <w:p w:rsidR="00000000" w:rsidRDefault="000C25A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evalueren, toetsen en beoordelen in opleidingen</w:t>
      </w:r>
    </w:p>
    <w:p w:rsidR="000C25A0" w:rsidRDefault="000C25A0">
      <w:pPr>
        <w:rPr>
          <w:rFonts w:ascii="Arial" w:hAnsi="Arial" w:cs="Arial"/>
          <w:color w:val="505050"/>
          <w:sz w:val="27"/>
          <w:szCs w:val="27"/>
          <w:shd w:val="clear" w:color="auto" w:fill="FFFFFF"/>
        </w:rPr>
      </w:pPr>
      <w:r>
        <w:rPr>
          <w:rFonts w:ascii="Verdana" w:eastAsia="Times New Roman" w:hAnsi="Verdana"/>
          <w:sz w:val="18"/>
          <w:szCs w:val="18"/>
        </w:rPr>
        <w:br/>
        <w:t>Met behulp van zelf ingebrachte casuïstiek (monitoren van gedrag; audio/videomateriaal) kun je je eigen interpersoonlijke valkuilen in supervisiesessies en andere begeleidingssessies identificeren en aanpak</w:t>
      </w:r>
      <w:r>
        <w:rPr>
          <w:rFonts w:ascii="Verdana" w:eastAsia="Times New Roman" w:hAnsi="Verdana"/>
          <w:sz w:val="18"/>
          <w:szCs w:val="18"/>
        </w:rPr>
        <w:t>ken. Je krijgt de mogelijkheid om middels rollenspelen ervaring op te doen in de rol van zowel supervisor/begeleider als supervisant/begeleide. Ten minste de helft van de tijd wordt besteed aan daadwerkelijk oefenen van praktische vaardigheden.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w:t>
      </w:r>
      <w:r>
        <w:rPr>
          <w:rFonts w:ascii="Verdana" w:eastAsia="Times New Roman" w:hAnsi="Verdana"/>
          <w:sz w:val="18"/>
          <w:szCs w:val="18"/>
        </w:rPr>
        <w:t xml:space="preserve">rs. José van Reijen - Klinisch psycholoog/psychotherapeut, supervisor psychotherapie, leersupervisor en leertherapeut. Werkzaam bij eigen praktijk., dr. Salvatore Vitale - </w:t>
      </w:r>
      <w:r w:rsidRPr="000C25A0">
        <w:rPr>
          <w:rFonts w:ascii="Verdana" w:hAnsi="Verdana" w:cs="Arial"/>
          <w:sz w:val="18"/>
          <w:szCs w:val="18"/>
          <w:shd w:val="clear" w:color="auto" w:fill="FFFFFF"/>
        </w:rPr>
        <w:t>klinisch psycho</w:t>
      </w:r>
      <w:r w:rsidRPr="000C25A0">
        <w:rPr>
          <w:rFonts w:ascii="Verdana" w:hAnsi="Verdana" w:cs="Arial"/>
          <w:sz w:val="18"/>
          <w:szCs w:val="18"/>
          <w:shd w:val="clear" w:color="auto" w:fill="FFFFFF"/>
        </w:rPr>
        <w:softHyphen/>
        <w:t>loog-psycho</w:t>
      </w:r>
      <w:r w:rsidRPr="000C25A0">
        <w:rPr>
          <w:rFonts w:ascii="Verdana" w:hAnsi="Verdana" w:cs="Arial"/>
          <w:sz w:val="18"/>
          <w:szCs w:val="18"/>
          <w:shd w:val="clear" w:color="auto" w:fill="FFFFFF"/>
        </w:rPr>
        <w:softHyphen/>
        <w:t>thera</w:t>
      </w:r>
      <w:r w:rsidRPr="000C25A0">
        <w:rPr>
          <w:rFonts w:ascii="Verdana" w:hAnsi="Verdana" w:cs="Arial"/>
          <w:sz w:val="18"/>
          <w:szCs w:val="18"/>
          <w:shd w:val="clear" w:color="auto" w:fill="FFFFFF"/>
        </w:rPr>
        <w:softHyphen/>
        <w:t>peut en werkt deels in een eigen prak</w:t>
      </w:r>
      <w:r w:rsidRPr="000C25A0">
        <w:rPr>
          <w:rFonts w:ascii="Verdana" w:hAnsi="Verdana" w:cs="Arial"/>
          <w:sz w:val="18"/>
          <w:szCs w:val="18"/>
          <w:shd w:val="clear" w:color="auto" w:fill="FFFFFF"/>
        </w:rPr>
        <w:softHyphen/>
        <w:t>tijk. In de prak</w:t>
      </w:r>
      <w:r w:rsidRPr="000C25A0">
        <w:rPr>
          <w:rFonts w:ascii="Verdana" w:hAnsi="Verdana" w:cs="Arial"/>
          <w:sz w:val="18"/>
          <w:szCs w:val="18"/>
          <w:shd w:val="clear" w:color="auto" w:fill="FFFFFF"/>
        </w:rPr>
        <w:softHyphen/>
        <w:t>tijk richt hij zich op psycho</w:t>
      </w:r>
      <w:r w:rsidRPr="000C25A0">
        <w:rPr>
          <w:rFonts w:ascii="Verdana" w:hAnsi="Verdana" w:cs="Arial"/>
          <w:sz w:val="18"/>
          <w:szCs w:val="18"/>
          <w:shd w:val="clear" w:color="auto" w:fill="FFFFFF"/>
        </w:rPr>
        <w:softHyphen/>
        <w:t>thera</w:t>
      </w:r>
      <w:r w:rsidRPr="000C25A0">
        <w:rPr>
          <w:rFonts w:ascii="Verdana" w:hAnsi="Verdana" w:cs="Arial"/>
          <w:sz w:val="18"/>
          <w:szCs w:val="18"/>
          <w:shd w:val="clear" w:color="auto" w:fill="FFFFFF"/>
        </w:rPr>
        <w:softHyphen/>
        <w:t>pie, diag</w:t>
      </w:r>
      <w:r w:rsidRPr="000C25A0">
        <w:rPr>
          <w:rFonts w:ascii="Verdana" w:hAnsi="Verdana" w:cs="Arial"/>
          <w:sz w:val="18"/>
          <w:szCs w:val="18"/>
          <w:shd w:val="clear" w:color="auto" w:fill="FFFFFF"/>
        </w:rPr>
        <w:softHyphen/>
        <w:t>nos</w:t>
      </w:r>
      <w:r w:rsidRPr="000C25A0">
        <w:rPr>
          <w:rFonts w:ascii="Verdana" w:hAnsi="Verdana" w:cs="Arial"/>
          <w:sz w:val="18"/>
          <w:szCs w:val="18"/>
          <w:shd w:val="clear" w:color="auto" w:fill="FFFFFF"/>
        </w:rPr>
        <w:softHyphen/>
        <w:t>tisch onder</w:t>
      </w:r>
      <w:r w:rsidRPr="000C25A0">
        <w:rPr>
          <w:rFonts w:ascii="Verdana" w:hAnsi="Verdana" w:cs="Arial"/>
          <w:sz w:val="18"/>
          <w:szCs w:val="18"/>
          <w:shd w:val="clear" w:color="auto" w:fill="FFFFFF"/>
        </w:rPr>
        <w:softHyphen/>
        <w:t>zoek en geeft hij super</w:t>
      </w:r>
      <w:r w:rsidRPr="000C25A0">
        <w:rPr>
          <w:rFonts w:ascii="Verdana" w:hAnsi="Verdana" w:cs="Arial"/>
          <w:sz w:val="18"/>
          <w:szCs w:val="18"/>
          <w:shd w:val="clear" w:color="auto" w:fill="FFFFFF"/>
        </w:rPr>
        <w:softHyphen/>
        <w:t>visies. Tevens is Salvatore werk</w:t>
      </w:r>
      <w:r w:rsidRPr="000C25A0">
        <w:rPr>
          <w:rFonts w:ascii="Verdana" w:hAnsi="Verdana" w:cs="Arial"/>
          <w:sz w:val="18"/>
          <w:szCs w:val="18"/>
          <w:shd w:val="clear" w:color="auto" w:fill="FFFFFF"/>
        </w:rPr>
        <w:softHyphen/>
        <w:t>zaam bij GGZ Rivierduinen en verzorgt hij postdoctoraal onder</w:t>
      </w:r>
      <w:r w:rsidRPr="000C25A0">
        <w:rPr>
          <w:rFonts w:ascii="Verdana" w:hAnsi="Verdana" w:cs="Arial"/>
          <w:sz w:val="18"/>
          <w:szCs w:val="18"/>
          <w:shd w:val="clear" w:color="auto" w:fill="FFFFFF"/>
        </w:rPr>
        <w:softHyphen/>
        <w:t>wijs voor de RINO Groep in Utrecht. Salvatore is integratief opgeleid, wat betekent dat hij vanuit ver</w:t>
      </w:r>
      <w:r w:rsidRPr="000C25A0">
        <w:rPr>
          <w:rFonts w:ascii="Verdana" w:hAnsi="Verdana" w:cs="Arial"/>
          <w:sz w:val="18"/>
          <w:szCs w:val="18"/>
          <w:shd w:val="clear" w:color="auto" w:fill="FFFFFF"/>
        </w:rPr>
        <w:softHyphen/>
        <w:t>schil</w:t>
      </w:r>
      <w:r w:rsidRPr="000C25A0">
        <w:rPr>
          <w:rFonts w:ascii="Verdana" w:hAnsi="Verdana" w:cs="Arial"/>
          <w:sz w:val="18"/>
          <w:szCs w:val="18"/>
          <w:shd w:val="clear" w:color="auto" w:fill="FFFFFF"/>
        </w:rPr>
        <w:softHyphen/>
        <w:t>lende referen</w:t>
      </w:r>
      <w:r w:rsidRPr="000C25A0">
        <w:rPr>
          <w:rFonts w:ascii="Verdana" w:hAnsi="Verdana" w:cs="Arial"/>
          <w:sz w:val="18"/>
          <w:szCs w:val="18"/>
          <w:shd w:val="clear" w:color="auto" w:fill="FFFFFF"/>
        </w:rPr>
        <w:softHyphen/>
        <w:t>tie</w:t>
      </w:r>
      <w:r w:rsidRPr="000C25A0">
        <w:rPr>
          <w:rFonts w:ascii="Verdana" w:hAnsi="Verdana" w:cs="Arial"/>
          <w:sz w:val="18"/>
          <w:szCs w:val="18"/>
          <w:shd w:val="clear" w:color="auto" w:fill="FFFFFF"/>
        </w:rPr>
        <w:softHyphen/>
        <w:t>kaders werkt met een nadruk op psychodynamische psycho</w:t>
      </w:r>
      <w:r w:rsidRPr="000C25A0">
        <w:rPr>
          <w:rFonts w:ascii="Verdana" w:hAnsi="Verdana" w:cs="Arial"/>
          <w:sz w:val="18"/>
          <w:szCs w:val="18"/>
          <w:shd w:val="clear" w:color="auto" w:fill="FFFFFF"/>
        </w:rPr>
        <w:softHyphen/>
        <w:t>thera</w:t>
      </w:r>
      <w:r w:rsidRPr="000C25A0">
        <w:rPr>
          <w:rFonts w:ascii="Verdana" w:hAnsi="Verdana" w:cs="Arial"/>
          <w:sz w:val="18"/>
          <w:szCs w:val="18"/>
          <w:shd w:val="clear" w:color="auto" w:fill="FFFFFF"/>
        </w:rPr>
        <w:softHyphen/>
        <w:t>pieën, waaronder TFP en MBT. Daarnaast is hij Specialistisch groeps</w:t>
      </w:r>
      <w:r w:rsidRPr="000C25A0">
        <w:rPr>
          <w:rFonts w:ascii="Verdana" w:hAnsi="Verdana" w:cs="Arial"/>
          <w:sz w:val="18"/>
          <w:szCs w:val="18"/>
          <w:shd w:val="clear" w:color="auto" w:fill="FFFFFF"/>
        </w:rPr>
        <w:softHyphen/>
        <w:t>thera</w:t>
      </w:r>
      <w:r w:rsidRPr="000C25A0">
        <w:rPr>
          <w:rFonts w:ascii="Verdana" w:hAnsi="Verdana" w:cs="Arial"/>
          <w:sz w:val="18"/>
          <w:szCs w:val="18"/>
          <w:shd w:val="clear" w:color="auto" w:fill="FFFFFF"/>
        </w:rPr>
        <w:softHyphen/>
        <w:t>peut-NVGP</w:t>
      </w:r>
      <w:r>
        <w:rPr>
          <w:rFonts w:ascii="Arial" w:hAnsi="Arial" w:cs="Arial"/>
          <w:color w:val="505050"/>
          <w:sz w:val="27"/>
          <w:szCs w:val="27"/>
          <w:shd w:val="clear" w:color="auto" w:fill="FFFFFF"/>
        </w:rPr>
        <w:t>.</w:t>
      </w:r>
    </w:p>
    <w:p w:rsidR="00000000" w:rsidRDefault="000C25A0">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w:t>
      </w:r>
      <w:r>
        <w:rPr>
          <w:rFonts w:ascii="Verdana" w:eastAsia="Times New Roman" w:hAnsi="Verdana"/>
          <w:sz w:val="18"/>
          <w:szCs w:val="18"/>
        </w:rPr>
        <w:t>st en de training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Beunderman, R., Colijn S., </w:t>
      </w:r>
      <w:proofErr w:type="spellStart"/>
      <w:r>
        <w:rPr>
          <w:rFonts w:ascii="Verdana" w:eastAsia="Times New Roman" w:hAnsi="Verdana"/>
          <w:sz w:val="18"/>
          <w:szCs w:val="18"/>
        </w:rPr>
        <w:t>Geertjens</w:t>
      </w:r>
      <w:proofErr w:type="spellEnd"/>
      <w:r>
        <w:rPr>
          <w:rFonts w:ascii="Verdana" w:eastAsia="Times New Roman" w:hAnsi="Verdana"/>
          <w:sz w:val="18"/>
          <w:szCs w:val="18"/>
        </w:rPr>
        <w:t>. L. &amp; Van der Maas, F.M.B. (2016). Theorie en praktijk van supervisie in de ggz. Utrecht: De Tijdstroom. ISBN: 9789058983077</w:t>
      </w:r>
      <w:r>
        <w:rPr>
          <w:rFonts w:ascii="Verdana" w:eastAsia="Times New Roman" w:hAnsi="Verdana"/>
          <w:sz w:val="18"/>
          <w:szCs w:val="18"/>
        </w:rPr>
        <w:br/>
      </w:r>
      <w:r>
        <w:rPr>
          <w:rFonts w:ascii="Verdana" w:eastAsia="Times New Roman" w:hAnsi="Verdana"/>
          <w:sz w:val="18"/>
          <w:szCs w:val="18"/>
        </w:rPr>
        <w:br/>
        <w:t>Uiterlijk vijf weken voor de sta</w:t>
      </w:r>
      <w:r>
        <w:rPr>
          <w:rFonts w:ascii="Verdana" w:eastAsia="Times New Roman" w:hAnsi="Verdana"/>
          <w:sz w:val="18"/>
          <w:szCs w:val="18"/>
        </w:rPr>
        <w:t>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422F"/>
    <w:multiLevelType w:val="multilevel"/>
    <w:tmpl w:val="6884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16BA5"/>
    <w:multiLevelType w:val="multilevel"/>
    <w:tmpl w:val="D4D6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C25A0"/>
    <w:rsid w:val="000C2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02612"/>
  <w15:chartTrackingRefBased/>
  <w15:docId w15:val="{1F76BB23-C79A-424D-93BB-EE24877D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70409">
      <w:marLeft w:val="0"/>
      <w:marRight w:val="0"/>
      <w:marTop w:val="0"/>
      <w:marBottom w:val="0"/>
      <w:divBdr>
        <w:top w:val="none" w:sz="0" w:space="0" w:color="auto"/>
        <w:left w:val="none" w:sz="0" w:space="0" w:color="auto"/>
        <w:bottom w:val="none" w:sz="0" w:space="0" w:color="auto"/>
        <w:right w:val="none" w:sz="0" w:space="0" w:color="auto"/>
      </w:divBdr>
      <w:divsChild>
        <w:div w:id="327246995">
          <w:marLeft w:val="0"/>
          <w:marRight w:val="0"/>
          <w:marTop w:val="0"/>
          <w:marBottom w:val="0"/>
          <w:divBdr>
            <w:top w:val="none" w:sz="0" w:space="0" w:color="auto"/>
            <w:left w:val="none" w:sz="0" w:space="0" w:color="auto"/>
            <w:bottom w:val="none" w:sz="0" w:space="0" w:color="auto"/>
            <w:right w:val="none" w:sz="0" w:space="0" w:color="auto"/>
          </w:divBdr>
          <w:divsChild>
            <w:div w:id="20435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2019-12-20T13:21:00Z</dcterms:created>
  <dcterms:modified xsi:type="dcterms:W3CDTF">2019-12-20T13:21:00Z</dcterms:modified>
</cp:coreProperties>
</file>