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17" w:rsidRPr="00831917" w:rsidRDefault="00831917" w:rsidP="00831917">
      <w:pPr>
        <w:shd w:val="clear" w:color="auto" w:fill="FFFFFF"/>
        <w:spacing w:after="100" w:afterAutospacing="1" w:line="570" w:lineRule="atLeast"/>
        <w:outlineLvl w:val="1"/>
        <w:rPr>
          <w:rFonts w:ascii="FrutigerLTPro-Bold" w:eastAsia="Times New Roman" w:hAnsi="FrutigerLTPro-Bold" w:cs="Times New Roman"/>
          <w:color w:val="009CDE"/>
          <w:spacing w:val="18"/>
          <w:sz w:val="36"/>
          <w:szCs w:val="36"/>
          <w:lang w:eastAsia="nl-NL"/>
        </w:rPr>
      </w:pPr>
      <w:r w:rsidRPr="00831917">
        <w:rPr>
          <w:rFonts w:ascii="FrutigerLTPro-Bold" w:eastAsia="Times New Roman" w:hAnsi="FrutigerLTPro-Bold" w:cs="Times New Roman"/>
          <w:color w:val="009CDE"/>
          <w:spacing w:val="18"/>
          <w:sz w:val="36"/>
          <w:szCs w:val="36"/>
          <w:lang w:eastAsia="nl-NL"/>
        </w:rPr>
        <w:t>Programma</w:t>
      </w: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831917" w:rsidRPr="00831917" w:rsidTr="00831917">
        <w:tc>
          <w:tcPr>
            <w:tcW w:w="500" w:type="pct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9.00</w:t>
            </w:r>
          </w:p>
        </w:tc>
        <w:tc>
          <w:tcPr>
            <w:tcW w:w="4500" w:type="pct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Inloop met koffie en thee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9.30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Opening door dagvoorzitter Arne Popma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10.05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proofErr w:type="spellStart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Keynote</w:t>
            </w:r>
            <w:proofErr w:type="spellEnd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 xml:space="preserve"> sessie: Manon </w:t>
            </w:r>
            <w:proofErr w:type="spellStart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Hillegers</w:t>
            </w:r>
            <w:proofErr w:type="spellEnd"/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10.50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11.20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Kennisronde 1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5" w:anchor="autisme-en-genderdysforie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Autisme en genderdysforie…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so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what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?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6" w:anchor="tackle-your-tics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Tackle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your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Tics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 xml:space="preserve">: haalbaarheid van een korte, intensieve exposuretherapie in groepsvorm voor kinderen met </w:t>
            </w:r>
            <w:proofErr w:type="spellStart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ticstoornissen</w:t>
            </w:r>
            <w:proofErr w:type="spellEnd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.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7" w:anchor="diagnostische-classificatie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Een multidimensionaal en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transdiagnostisch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perspectief op diagnostische classificatie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8" w:anchor="wgbo-en-de-jeugdwet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WGBO als hefboom in het omgaan met de Jeugdwet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? Ruimte en beperkingen voor de kinder- en jeugdpsychiatrie in de praktijk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9" w:anchor="digitale-innovatie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Digitale innovatie in de jeugd-ggz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0" w:anchor="experience-sampling-method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De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Experience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Sampling Method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: Inzicht en interventies in het dagelijks leven – een ‘</w:t>
            </w:r>
            <w:proofErr w:type="spellStart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how</w:t>
            </w:r>
            <w:proofErr w:type="spellEnd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’ workshop.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1" w:anchor="beweging-van-0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Beweging van 0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, grote doelen voor grote resultaten.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2" w:anchor="sociale-ongelijkheid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Sociale ongelijkheid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 xml:space="preserve">: Vroeg interveniëren loont en geeft kinderen een faire kans. Lessen van de </w:t>
            </w:r>
            <w:proofErr w:type="spellStart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VoorZorg</w:t>
            </w:r>
            <w:proofErr w:type="spellEnd"/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-interventie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3" w:anchor="gezinsfact" w:tgtFrame="_blank" w:history="1"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GezinsFACT</w:t>
              </w:r>
              <w:proofErr w:type="spellEnd"/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: Jongere met complexe psychiatrische problematiek lopen vast.</w:t>
            </w:r>
          </w:p>
          <w:p w:rsidR="00831917" w:rsidRPr="00831917" w:rsidRDefault="00831917" w:rsidP="0083191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4" w:anchor="helping-young-people-early" w:tgtFrame="_blank" w:history="1"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Helping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Young People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Early</w:t>
              </w:r>
              <w:proofErr w:type="spellEnd"/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: vroege detectie en interventie voor jongeren met kenmerken van borderline persoonlijkheidsstoornis.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12.25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Lunchpauze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13.25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proofErr w:type="spellStart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Keynote</w:t>
            </w:r>
            <w:proofErr w:type="spellEnd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 xml:space="preserve"> sessie: Robert Vermeiren &amp; jongeren met ervaringskennis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14.10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Wisselpauze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14.25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Kennisronde 2</w:t>
            </w:r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5" w:anchor="jongerenparticipatie-in-onderzoek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Jongerenparticipatie in onderzoek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6" w:anchor="werken-met-de-verhalenbank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Werken met de verhalenbank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7" w:anchor="g-moji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G-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moji</w:t>
              </w:r>
              <w:proofErr w:type="spellEnd"/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: is de zorgprofessional straks vervangen door een smartphone?</w:t>
            </w:r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8" w:anchor="eigen-ervaring-inzetten-bij-jeugd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Eigen ervaring inzetten bij jeugd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: Taboe? Of 1 + 1 wordt 3?</w:t>
            </w:r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19" w:anchor="@ease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Een plek waar jongeren @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ease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kunnen zijn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20" w:anchor="werken-aan-een-toekomst-zonder-kindermishandeling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Werken aan een toekomst zonder kindermishandeling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21" w:anchor="youth-in-transition" w:tgtFrame="_blank" w:history="1"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Youth</w:t>
              </w:r>
              <w:proofErr w:type="spellEnd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 xml:space="preserve"> in </w:t>
              </w:r>
              <w:proofErr w:type="spellStart"/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Transition</w:t>
              </w:r>
              <w:proofErr w:type="spellEnd"/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: Jongeren met een verslaving boeien en binden aan longitudinaal onderzoek</w:t>
            </w:r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22" w:anchor="big-data-in-de-ggz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De (on)mogelijkheden van big data in de ggz</w:t>
              </w:r>
            </w:hyperlink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23" w:anchor="hoe-werkt-integrale-hulp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Hoe werkt integrale hulp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? Samen aan de slag met nieuwe inzichten.</w:t>
            </w:r>
          </w:p>
          <w:p w:rsidR="00831917" w:rsidRPr="00831917" w:rsidRDefault="00831917" w:rsidP="0083191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hyperlink r:id="rId24" w:anchor="de-toekomst-begint-vandaag" w:tgtFrame="_blank" w:history="1">
              <w:r w:rsidRPr="00831917">
                <w:rPr>
                  <w:rFonts w:ascii="FrutigerLTPro-Light" w:eastAsia="Times New Roman" w:hAnsi="FrutigerLTPro-Light" w:cs="Times New Roman"/>
                  <w:color w:val="0096D6"/>
                  <w:sz w:val="24"/>
                  <w:szCs w:val="24"/>
                  <w:u w:val="single"/>
                  <w:lang w:eastAsia="nl-NL"/>
                </w:rPr>
                <w:t>De toekomst begint vandaag</w:t>
              </w:r>
            </w:hyperlink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! Wetenschappelijk onderzoek in de kinder- en jeugdpsychiatrie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lastRenderedPageBreak/>
              <w:t>15.30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16.00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proofErr w:type="spellStart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Keynote</w:t>
            </w:r>
            <w:proofErr w:type="spellEnd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 xml:space="preserve"> sessie: Bram Orobio de Castro en Peter </w:t>
            </w:r>
            <w:proofErr w:type="spellStart"/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Deschamps</w:t>
            </w:r>
            <w:proofErr w:type="spellEnd"/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16.45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Afsluiting door dagvoorzitter Arne Popma</w:t>
            </w:r>
          </w:p>
        </w:tc>
      </w:tr>
      <w:tr w:rsidR="00831917" w:rsidRPr="00831917" w:rsidTr="00831917"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jc w:val="right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  <w:t>17.00</w:t>
            </w:r>
          </w:p>
        </w:tc>
        <w:tc>
          <w:tcPr>
            <w:tcW w:w="0" w:type="auto"/>
            <w:hideMark/>
          </w:tcPr>
          <w:p w:rsidR="00831917" w:rsidRPr="00831917" w:rsidRDefault="00831917" w:rsidP="00831917">
            <w:pPr>
              <w:spacing w:after="0" w:line="240" w:lineRule="auto"/>
              <w:rPr>
                <w:rFonts w:ascii="FrutigerLTPro-Light" w:eastAsia="Times New Roman" w:hAnsi="FrutigerLTPro-Light" w:cs="Times New Roman"/>
                <w:sz w:val="24"/>
                <w:szCs w:val="24"/>
                <w:lang w:eastAsia="nl-NL"/>
              </w:rPr>
            </w:pPr>
            <w:r w:rsidRPr="00831917">
              <w:rPr>
                <w:rFonts w:ascii="FrutigerLTPro-Bold" w:eastAsia="Times New Roman" w:hAnsi="FrutigerLTPro-Bold" w:cs="Times New Roman"/>
                <w:sz w:val="24"/>
                <w:szCs w:val="24"/>
                <w:lang w:eastAsia="nl-NL"/>
              </w:rPr>
              <w:t>Netwerkborrel</w:t>
            </w:r>
          </w:p>
        </w:tc>
      </w:tr>
    </w:tbl>
    <w:p w:rsidR="00DB6940" w:rsidRPr="00831917" w:rsidRDefault="00DB6940" w:rsidP="00831917">
      <w:bookmarkStart w:id="0" w:name="_GoBack"/>
      <w:bookmarkEnd w:id="0"/>
    </w:p>
    <w:sectPr w:rsidR="00DB6940" w:rsidRPr="0083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Pro-Bold">
    <w:altName w:val="Cambria"/>
    <w:panose1 w:val="00000000000000000000"/>
    <w:charset w:val="00"/>
    <w:family w:val="roman"/>
    <w:notTrueType/>
    <w:pitch w:val="default"/>
  </w:font>
  <w:font w:name="FrutigerLTPro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6D44"/>
    <w:multiLevelType w:val="multilevel"/>
    <w:tmpl w:val="2D0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374E9"/>
    <w:multiLevelType w:val="multilevel"/>
    <w:tmpl w:val="A456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17"/>
    <w:rsid w:val="00831917"/>
    <w:rsid w:val="00D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D32B-A006-41A2-8AFC-BB26C9DF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31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3191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83191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3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9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13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18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7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12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17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20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11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24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5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15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23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10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19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niscentrum-kjp.nl/over-ons/congressen/jaarcongres-kinder-jeugdpsychiatrie-2019/kennisrondes-jaarcongres-kinder-jeugdpsychiatrie-2019" TargetMode="External"/><Relationship Id="rId14" Type="http://schemas.openxmlformats.org/officeDocument/2006/relationships/hyperlink" Target="https://www.kenniscentrum-kjp.nl/over-ons/congressen/jaarcongres-kinder-jeugdpsychiatrie-2019/kennisrondes-jaarcongres-kinder-jeugdpsychiatrie-2019/" TargetMode="External"/><Relationship Id="rId22" Type="http://schemas.openxmlformats.org/officeDocument/2006/relationships/hyperlink" Target="https://www.kenniscentrum-kjp.nl/over-ons/congressen/jaarcongres-kinder-jeugdpsychiatrie-2019/kennisrondes-jaarcongres-kinder-jeugdpsychiatrie-2019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Nikwi Hoogland</dc:creator>
  <cp:keywords/>
  <dc:description/>
  <cp:lastModifiedBy>Nikwi Hoogland</cp:lastModifiedBy>
  <cp:revision>1</cp:revision>
  <dcterms:created xsi:type="dcterms:W3CDTF">2019-07-16T11:03:00Z</dcterms:created>
  <dcterms:modified xsi:type="dcterms:W3CDTF">2019-07-16T11:03:00Z</dcterms:modified>
</cp:coreProperties>
</file>