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Het derde en laatste deel van het drieluik mammacarcinoom zal geheel in het teken staan van het HER2-positief mammacarcinoom. In deze nascholing aandacht voor de behandelmogelijkheden in de neoadjuvante, adjuvante en gemetastaseerde setting, waarbij we ons vooral afvragen hoe we met alle mogelijkheden moeten omgaan in de praktijk.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Onder leiding van presentatrice Inge Diepman bespreekt het expertpanel de volgende onderwerpen: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dubbele HER2-blokkade in de neoadjuvante en adjuvante setting;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het gebruik van anthracycline-vrije schema’s;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trastuzumab: duur van de behandeling en komst van biosimilars;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nieuwe beeldvormingstechnieken met radioactief-gelabeld trastuzumab;</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volgorde van behandelingen in de gemetastaseerde setting.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Het expertpanel bestaat uit: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 Gabe Sonke, internist-oncoloog, NKI-AVL, Amsterdam</w:t>
      </w:r>
    </w:p>
    <w:p w:rsidR="00000000" w:rsidDel="00000000" w:rsidP="00000000" w:rsidRDefault="00000000" w:rsidRPr="00000000">
      <w:pPr>
        <w:contextualSpacing w:val="0"/>
        <w:rPr/>
      </w:pPr>
      <w:r w:rsidDel="00000000" w:rsidR="00000000" w:rsidRPr="00000000">
        <w:rPr>
          <w:rtl w:val="0"/>
        </w:rPr>
        <w:t xml:space="preserve">Dr. Aafke Honkoop, internist-oncoloog, Isala, Zwolle</w:t>
      </w:r>
    </w:p>
    <w:p w:rsidR="00000000" w:rsidDel="00000000" w:rsidP="00000000" w:rsidRDefault="00000000" w:rsidRPr="00000000">
      <w:pPr>
        <w:contextualSpacing w:val="0"/>
        <w:rPr/>
      </w:pPr>
      <w:r w:rsidDel="00000000" w:rsidR="00000000" w:rsidRPr="00000000">
        <w:rPr>
          <w:rtl w:val="0"/>
        </w:rPr>
        <w:t xml:space="preserve">Dr.Karin Beelen, internist-oncoloog, Reinier de Graaf, Delft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met medewerking van dr. Carolien Schröder, internist-oncoloog, UMCG.</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