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F064" w14:textId="77777777" w:rsidR="008E1F19" w:rsidRPr="000D0222" w:rsidRDefault="008E1F19" w:rsidP="003F7F9E">
      <w:pPr>
        <w:widowControl w:val="0"/>
        <w:autoSpaceDE w:val="0"/>
        <w:autoSpaceDN w:val="0"/>
        <w:adjustRightInd w:val="0"/>
        <w:ind w:left="708"/>
        <w:rPr>
          <w:rFonts w:ascii="Arial" w:hAnsi="Arial" w:cs="Arial"/>
          <w:b/>
          <w:color w:val="18376A"/>
          <w:lang w:val="en-US"/>
        </w:rPr>
      </w:pPr>
      <w:r w:rsidRPr="000D0222">
        <w:rPr>
          <w:rFonts w:ascii="Arial" w:hAnsi="Arial" w:cs="Arial"/>
          <w:b/>
          <w:color w:val="18376A"/>
          <w:lang w:val="en-US"/>
        </w:rPr>
        <w:t>Abstracts</w:t>
      </w:r>
    </w:p>
    <w:p w14:paraId="0CCEF456" w14:textId="77777777" w:rsidR="008E1F19" w:rsidRPr="000D0222" w:rsidRDefault="008E1F19" w:rsidP="003F7F9E">
      <w:pPr>
        <w:widowControl w:val="0"/>
        <w:autoSpaceDE w:val="0"/>
        <w:autoSpaceDN w:val="0"/>
        <w:adjustRightInd w:val="0"/>
        <w:ind w:left="708"/>
        <w:rPr>
          <w:rFonts w:ascii="Arial" w:hAnsi="Arial" w:cs="Arial"/>
          <w:color w:val="18376A"/>
          <w:lang w:val="en-US"/>
        </w:rPr>
      </w:pPr>
    </w:p>
    <w:p w14:paraId="7A805012" w14:textId="77777777" w:rsidR="008E1F19" w:rsidRPr="000D0222" w:rsidRDefault="008E1F19" w:rsidP="003F7F9E">
      <w:pPr>
        <w:widowControl w:val="0"/>
        <w:autoSpaceDE w:val="0"/>
        <w:autoSpaceDN w:val="0"/>
        <w:adjustRightInd w:val="0"/>
        <w:ind w:left="708"/>
        <w:rPr>
          <w:rFonts w:ascii="Arial" w:hAnsi="Arial" w:cs="Arial"/>
          <w:i/>
          <w:color w:val="18376A"/>
          <w:lang w:val="en-US"/>
        </w:rPr>
      </w:pPr>
      <w:r w:rsidRPr="000D0222">
        <w:rPr>
          <w:rFonts w:ascii="Arial" w:hAnsi="Arial" w:cs="Arial"/>
          <w:i/>
          <w:color w:val="18376A"/>
          <w:lang w:val="en-US"/>
        </w:rPr>
        <w:t>prof. Steven L. Moran</w:t>
      </w:r>
    </w:p>
    <w:p w14:paraId="278CB1A9" w14:textId="77777777" w:rsidR="008E1F19" w:rsidRPr="000D0222" w:rsidRDefault="008E1F19" w:rsidP="003F7F9E">
      <w:pPr>
        <w:widowControl w:val="0"/>
        <w:autoSpaceDE w:val="0"/>
        <w:autoSpaceDN w:val="0"/>
        <w:adjustRightInd w:val="0"/>
        <w:ind w:left="708"/>
        <w:rPr>
          <w:rFonts w:ascii="Arial" w:hAnsi="Arial" w:cs="Arial"/>
          <w:color w:val="18376A"/>
          <w:lang w:val="en-US"/>
        </w:rPr>
      </w:pPr>
    </w:p>
    <w:p w14:paraId="5B886241" w14:textId="77777777" w:rsidR="008E1F19" w:rsidRPr="000D0222" w:rsidRDefault="008E1F19" w:rsidP="003F7F9E">
      <w:pPr>
        <w:widowControl w:val="0"/>
        <w:autoSpaceDE w:val="0"/>
        <w:autoSpaceDN w:val="0"/>
        <w:adjustRightInd w:val="0"/>
        <w:ind w:left="708"/>
        <w:rPr>
          <w:rFonts w:ascii="Arial" w:hAnsi="Arial" w:cs="Arial"/>
          <w:color w:val="1A1A1A"/>
          <w:lang w:val="en-US"/>
        </w:rPr>
      </w:pPr>
      <w:r w:rsidRPr="000D0222">
        <w:rPr>
          <w:rFonts w:ascii="Arial" w:hAnsi="Arial" w:cs="Arial"/>
          <w:color w:val="18376A"/>
          <w:lang w:val="en-US"/>
        </w:rPr>
        <w:t>Ligament injuries in the wrist: Do we need repair them all?</w:t>
      </w:r>
    </w:p>
    <w:p w14:paraId="1A2E4ADB" w14:textId="77777777" w:rsidR="008E1F19" w:rsidRPr="000D0222" w:rsidRDefault="008E1F19" w:rsidP="003F7F9E">
      <w:pPr>
        <w:widowControl w:val="0"/>
        <w:autoSpaceDE w:val="0"/>
        <w:autoSpaceDN w:val="0"/>
        <w:adjustRightInd w:val="0"/>
        <w:ind w:left="708"/>
        <w:rPr>
          <w:rFonts w:ascii="Arial" w:hAnsi="Arial" w:cs="Arial"/>
          <w:color w:val="1A1A1A"/>
          <w:lang w:val="en-US"/>
        </w:rPr>
      </w:pPr>
      <w:r w:rsidRPr="000D0222">
        <w:rPr>
          <w:rFonts w:ascii="Arial" w:hAnsi="Arial" w:cs="Arial"/>
          <w:color w:val="18376A"/>
          <w:lang w:val="en-US"/>
        </w:rPr>
        <w:t> </w:t>
      </w:r>
    </w:p>
    <w:p w14:paraId="7CFA74F8" w14:textId="687AA70D" w:rsidR="00356E78" w:rsidRPr="000D0222" w:rsidRDefault="008E1F19" w:rsidP="003F7F9E">
      <w:pPr>
        <w:ind w:left="708"/>
        <w:rPr>
          <w:rFonts w:ascii="Arial" w:hAnsi="Arial" w:cs="Arial"/>
          <w:color w:val="18376A"/>
          <w:lang w:val="en-US"/>
        </w:rPr>
      </w:pPr>
      <w:r w:rsidRPr="000D0222">
        <w:rPr>
          <w:rFonts w:ascii="Arial" w:hAnsi="Arial" w:cs="Arial"/>
          <w:color w:val="18376A"/>
          <w:lang w:val="en-US"/>
        </w:rPr>
        <w:t>The</w:t>
      </w:r>
      <w:r w:rsidR="000D0222" w:rsidRPr="000D0222">
        <w:rPr>
          <w:rFonts w:ascii="Arial" w:hAnsi="Arial" w:cs="Arial"/>
          <w:color w:val="18376A"/>
          <w:lang w:val="en-US"/>
        </w:rPr>
        <w:t xml:space="preserve"> original description of carpal</w:t>
      </w:r>
      <w:r w:rsidRPr="000D0222">
        <w:rPr>
          <w:rFonts w:ascii="Arial" w:hAnsi="Arial" w:cs="Arial"/>
          <w:color w:val="18376A"/>
          <w:lang w:val="en-US"/>
        </w:rPr>
        <w:t xml:space="preserve"> and scapholunate (SL) instability were described by Linscheid and Dobyns over 40 years ago.  Since that time a “gold standard” has yet to be established for the treatment of scapholunate instability of the wrist.  This lecture will provide a brief overview of SL instability and the recent advances in diagnosis and surgical treatment.  We will also explore the paucity of evidence based outcomes studies for the treatment of SL instability and suggest what can be done to improve our outcomes of this pathologic process.</w:t>
      </w:r>
    </w:p>
    <w:p w14:paraId="2F663DE3" w14:textId="77777777" w:rsidR="003F7F9E" w:rsidRPr="000D0222" w:rsidRDefault="003F7F9E" w:rsidP="003F7F9E">
      <w:pPr>
        <w:ind w:left="708"/>
        <w:rPr>
          <w:rFonts w:ascii="Arial" w:hAnsi="Arial" w:cs="Arial"/>
          <w:color w:val="18376A"/>
          <w:lang w:val="en-US"/>
        </w:rPr>
      </w:pPr>
    </w:p>
    <w:p w14:paraId="0061079C" w14:textId="77777777" w:rsidR="003F7F9E" w:rsidRPr="000D0222" w:rsidRDefault="003F7F9E" w:rsidP="003F7F9E">
      <w:pPr>
        <w:ind w:left="708"/>
        <w:rPr>
          <w:rFonts w:ascii="Arial" w:hAnsi="Arial" w:cs="Arial"/>
          <w:i/>
          <w:color w:val="18376A"/>
          <w:lang w:val="en-US"/>
        </w:rPr>
      </w:pPr>
      <w:r w:rsidRPr="000D0222">
        <w:rPr>
          <w:rFonts w:ascii="Arial" w:hAnsi="Arial" w:cs="Arial"/>
          <w:i/>
          <w:color w:val="18376A"/>
          <w:lang w:val="en-US"/>
        </w:rPr>
        <w:t>prof. Peter C. Amadio</w:t>
      </w:r>
    </w:p>
    <w:p w14:paraId="256D8C7E" w14:textId="77777777" w:rsidR="003F7F9E" w:rsidRPr="000D0222" w:rsidRDefault="003F7F9E" w:rsidP="003F7F9E">
      <w:pPr>
        <w:ind w:left="708"/>
        <w:rPr>
          <w:rFonts w:ascii="Arial" w:hAnsi="Arial" w:cs="Arial"/>
          <w:color w:val="18376A"/>
          <w:lang w:val="en-US"/>
        </w:rPr>
      </w:pPr>
    </w:p>
    <w:p w14:paraId="76B386AD" w14:textId="77777777" w:rsidR="003F7F9E" w:rsidRPr="000D0222" w:rsidRDefault="003F7F9E" w:rsidP="003F7F9E">
      <w:pPr>
        <w:widowControl w:val="0"/>
        <w:autoSpaceDE w:val="0"/>
        <w:autoSpaceDN w:val="0"/>
        <w:adjustRightInd w:val="0"/>
        <w:ind w:left="708"/>
        <w:jc w:val="center"/>
        <w:rPr>
          <w:rFonts w:ascii="Arial" w:hAnsi="Arial" w:cs="Arial"/>
          <w:color w:val="1A1A1A"/>
          <w:lang w:val="en-US"/>
        </w:rPr>
      </w:pPr>
      <w:r w:rsidRPr="000D0222">
        <w:rPr>
          <w:rFonts w:ascii="Arial" w:hAnsi="Arial" w:cs="Arial"/>
          <w:b/>
          <w:bCs/>
          <w:i/>
          <w:iCs/>
          <w:color w:val="1A1A1A"/>
          <w:lang w:val="en-US"/>
        </w:rPr>
        <w:t>Fact and fiction in flexor tendon surgery </w:t>
      </w:r>
    </w:p>
    <w:p w14:paraId="60429F52" w14:textId="77777777" w:rsidR="003F7F9E" w:rsidRPr="000D0222" w:rsidRDefault="003F7F9E" w:rsidP="003F7F9E">
      <w:pPr>
        <w:widowControl w:val="0"/>
        <w:autoSpaceDE w:val="0"/>
        <w:autoSpaceDN w:val="0"/>
        <w:adjustRightInd w:val="0"/>
        <w:ind w:left="708"/>
        <w:jc w:val="center"/>
        <w:rPr>
          <w:rFonts w:ascii="Arial" w:hAnsi="Arial" w:cs="Arial"/>
          <w:color w:val="1A1A1A"/>
          <w:lang w:val="en-US"/>
        </w:rPr>
      </w:pPr>
      <w:r w:rsidRPr="000D0222">
        <w:rPr>
          <w:rFonts w:ascii="Arial" w:hAnsi="Arial" w:cs="Arial"/>
          <w:color w:val="1A1A1A"/>
          <w:lang w:val="en-US"/>
        </w:rPr>
        <w:t>Peter C Amadio, MD</w:t>
      </w:r>
    </w:p>
    <w:p w14:paraId="76E6EC05" w14:textId="77777777" w:rsidR="003F7F9E" w:rsidRPr="000D0222" w:rsidRDefault="003F7F9E" w:rsidP="003F7F9E">
      <w:pPr>
        <w:widowControl w:val="0"/>
        <w:autoSpaceDE w:val="0"/>
        <w:autoSpaceDN w:val="0"/>
        <w:adjustRightInd w:val="0"/>
        <w:ind w:left="708"/>
        <w:jc w:val="center"/>
        <w:rPr>
          <w:rFonts w:ascii="Arial" w:hAnsi="Arial" w:cs="Arial"/>
          <w:color w:val="1A1A1A"/>
          <w:lang w:val="en-US"/>
        </w:rPr>
      </w:pPr>
      <w:r w:rsidRPr="000D0222">
        <w:rPr>
          <w:rFonts w:ascii="Arial" w:hAnsi="Arial" w:cs="Arial"/>
          <w:color w:val="1A1A1A"/>
          <w:lang w:val="en-US"/>
        </w:rPr>
        <w:t>Lloyd A and Barbara A Amundson Professor of Orthopedic Surgery</w:t>
      </w:r>
    </w:p>
    <w:p w14:paraId="13F976DA" w14:textId="77777777" w:rsidR="003F7F9E" w:rsidRPr="000D0222" w:rsidRDefault="003F7F9E" w:rsidP="003F7F9E">
      <w:pPr>
        <w:widowControl w:val="0"/>
        <w:autoSpaceDE w:val="0"/>
        <w:autoSpaceDN w:val="0"/>
        <w:adjustRightInd w:val="0"/>
        <w:ind w:left="708"/>
        <w:jc w:val="center"/>
        <w:rPr>
          <w:rFonts w:ascii="Arial" w:hAnsi="Arial" w:cs="Arial"/>
          <w:color w:val="1A1A1A"/>
          <w:lang w:val="en-US"/>
        </w:rPr>
      </w:pPr>
      <w:r w:rsidRPr="000D0222">
        <w:rPr>
          <w:rFonts w:ascii="Arial" w:hAnsi="Arial" w:cs="Arial"/>
          <w:color w:val="1A1A1A"/>
          <w:lang w:val="en-US"/>
        </w:rPr>
        <w:t>Mayo Clinic</w:t>
      </w:r>
    </w:p>
    <w:p w14:paraId="6451468F" w14:textId="77777777" w:rsidR="003F7F9E" w:rsidRPr="000D0222" w:rsidRDefault="003F7F9E" w:rsidP="003F7F9E">
      <w:pPr>
        <w:widowControl w:val="0"/>
        <w:autoSpaceDE w:val="0"/>
        <w:autoSpaceDN w:val="0"/>
        <w:adjustRightInd w:val="0"/>
        <w:ind w:left="708"/>
        <w:jc w:val="center"/>
        <w:rPr>
          <w:rFonts w:ascii="Arial" w:hAnsi="Arial" w:cs="Arial"/>
          <w:color w:val="1A1A1A"/>
          <w:lang w:val="en-US"/>
        </w:rPr>
      </w:pPr>
      <w:r w:rsidRPr="000D0222">
        <w:rPr>
          <w:rFonts w:ascii="Arial" w:hAnsi="Arial" w:cs="Arial"/>
          <w:color w:val="1A1A1A"/>
          <w:lang w:val="en-US"/>
        </w:rPr>
        <w:t>Rochester, MN</w:t>
      </w:r>
    </w:p>
    <w:p w14:paraId="1D0CD316" w14:textId="77777777" w:rsidR="003F7F9E" w:rsidRPr="000D0222" w:rsidRDefault="003F7F9E" w:rsidP="003F7F9E">
      <w:pPr>
        <w:widowControl w:val="0"/>
        <w:autoSpaceDE w:val="0"/>
        <w:autoSpaceDN w:val="0"/>
        <w:adjustRightInd w:val="0"/>
        <w:ind w:left="708"/>
        <w:rPr>
          <w:rFonts w:ascii="Arial" w:hAnsi="Arial" w:cs="Arial"/>
          <w:color w:val="1A1A1A"/>
          <w:lang w:val="en-US"/>
        </w:rPr>
      </w:pPr>
      <w:r w:rsidRPr="000D0222">
        <w:rPr>
          <w:rFonts w:ascii="Arial" w:hAnsi="Arial" w:cs="Arial"/>
          <w:color w:val="1A1A1A"/>
          <w:lang w:val="en-US"/>
        </w:rPr>
        <w:t> </w:t>
      </w:r>
    </w:p>
    <w:p w14:paraId="100AC57E" w14:textId="77777777" w:rsidR="003F7F9E" w:rsidRPr="000D0222" w:rsidRDefault="003F7F9E" w:rsidP="003F7F9E">
      <w:pPr>
        <w:widowControl w:val="0"/>
        <w:autoSpaceDE w:val="0"/>
        <w:autoSpaceDN w:val="0"/>
        <w:adjustRightInd w:val="0"/>
        <w:ind w:left="708"/>
        <w:rPr>
          <w:rFonts w:ascii="Arial" w:hAnsi="Arial" w:cs="Arial"/>
          <w:color w:val="1A1A1A"/>
          <w:lang w:val="en-US"/>
        </w:rPr>
      </w:pPr>
      <w:r w:rsidRPr="000D0222">
        <w:rPr>
          <w:rFonts w:ascii="Arial" w:hAnsi="Arial" w:cs="Arial"/>
          <w:color w:val="1A1A1A"/>
          <w:lang w:val="en-US"/>
        </w:rPr>
        <w:t> </w:t>
      </w:r>
    </w:p>
    <w:p w14:paraId="084725BA"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lang w:val="en-US"/>
        </w:rPr>
        <w:t>This presentation will update attendees on current tissue engineering techniques to enhance the intrinsic pathway of tendon healing, suppress the extrinsic pathway of healing, and improve  frictional resistance to tendon gliding(</w:t>
      </w:r>
      <w:r w:rsidRPr="000D0222">
        <w:rPr>
          <w:rFonts w:ascii="Arial" w:hAnsi="Arial" w:cs="Arial"/>
          <w:color w:val="6B006D"/>
          <w:u w:val="single" w:color="6B006D"/>
          <w:lang w:val="en-US"/>
        </w:rPr>
        <w:t>1-3</w:t>
      </w:r>
      <w:r w:rsidRPr="000D0222">
        <w:rPr>
          <w:rFonts w:ascii="Arial" w:hAnsi="Arial" w:cs="Arial"/>
          <w:color w:val="1A1A1A"/>
          <w:u w:color="6B006D"/>
          <w:lang w:val="en-US"/>
        </w:rPr>
        <w:t>).  It will also review the current practice for core suture methods(</w:t>
      </w:r>
      <w:r w:rsidRPr="000D0222">
        <w:rPr>
          <w:rFonts w:ascii="Arial" w:hAnsi="Arial" w:cs="Arial"/>
          <w:color w:val="6B006D"/>
          <w:u w:val="single" w:color="6B006D"/>
          <w:lang w:val="en-US"/>
        </w:rPr>
        <w:t>4-7</w:t>
      </w:r>
      <w:r w:rsidRPr="000D0222">
        <w:rPr>
          <w:rFonts w:ascii="Arial" w:hAnsi="Arial" w:cs="Arial"/>
          <w:color w:val="1A1A1A"/>
          <w:u w:color="6B006D"/>
          <w:lang w:val="en-US"/>
        </w:rPr>
        <w:t>); pulley management(</w:t>
      </w:r>
      <w:r w:rsidRPr="000D0222">
        <w:rPr>
          <w:rFonts w:ascii="Arial" w:hAnsi="Arial" w:cs="Arial"/>
          <w:color w:val="6B006D"/>
          <w:u w:val="single" w:color="6B006D"/>
          <w:lang w:val="en-US"/>
        </w:rPr>
        <w:t>8</w:t>
      </w:r>
      <w:r w:rsidRPr="000D0222">
        <w:rPr>
          <w:rFonts w:ascii="Arial" w:hAnsi="Arial" w:cs="Arial"/>
          <w:color w:val="1A1A1A"/>
          <w:u w:color="6B006D"/>
          <w:lang w:val="en-US"/>
        </w:rPr>
        <w:t>, </w:t>
      </w:r>
      <w:r w:rsidRPr="000D0222">
        <w:rPr>
          <w:rFonts w:ascii="Arial" w:hAnsi="Arial" w:cs="Arial"/>
          <w:color w:val="6B006D"/>
          <w:u w:val="single" w:color="6B006D"/>
          <w:lang w:val="en-US"/>
        </w:rPr>
        <w:t>9</w:t>
      </w:r>
      <w:r w:rsidRPr="000D0222">
        <w:rPr>
          <w:rFonts w:ascii="Arial" w:hAnsi="Arial" w:cs="Arial"/>
          <w:color w:val="1A1A1A"/>
          <w:u w:color="6B006D"/>
          <w:lang w:val="en-US"/>
        </w:rPr>
        <w:t>), tendon rehabilitation and considerations for FDS repair(</w:t>
      </w:r>
      <w:r w:rsidRPr="000D0222">
        <w:rPr>
          <w:rFonts w:ascii="Arial" w:hAnsi="Arial" w:cs="Arial"/>
          <w:color w:val="6B006D"/>
          <w:u w:val="single" w:color="6B006D"/>
          <w:lang w:val="en-US"/>
        </w:rPr>
        <w:t>10</w:t>
      </w:r>
      <w:r w:rsidRPr="000D0222">
        <w:rPr>
          <w:rFonts w:ascii="Arial" w:hAnsi="Arial" w:cs="Arial"/>
          <w:color w:val="1A1A1A"/>
          <w:u w:color="6B006D"/>
          <w:lang w:val="en-US"/>
        </w:rPr>
        <w:t>). Finally, the presentation will review the limitations and pitfalls of current methods of tendon repair and reconstruction.</w:t>
      </w:r>
    </w:p>
    <w:p w14:paraId="2C7F17D4"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 </w:t>
      </w:r>
    </w:p>
    <w:p w14:paraId="22C1EFE4"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References</w:t>
      </w:r>
    </w:p>
    <w:p w14:paraId="051CC96F"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 </w:t>
      </w:r>
    </w:p>
    <w:p w14:paraId="3C68655E"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1.             Zhao C, Ozasa Y, Reisdorf RL, Thoreson AR, Jay GD, An KN, et al. CORR ORS Richard A. Brand Award for Outstanding Orthopaedic Research: Engineering Flexor Tendon Repair With Lubricant, Cells, and Cytokines in a Canine Model. Clin Orthop Relat Res. 2014.</w:t>
      </w:r>
    </w:p>
    <w:p w14:paraId="0C0589EA"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2.             Zhao C, Sun YL, Jay GD, Moran SL, An KN, Amadio PC. Surface modification counteracts adverse effects associated with immobilization after flexor tendon repair. J Orthop Res. 2012;30(12):1940-4. PMCID: 3449004.</w:t>
      </w:r>
    </w:p>
    <w:p w14:paraId="4B88836A"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3.             Zhao C, Wei Z, Reisdorf RL, Thoreson AR, Jay GD, Moran SL, et al. The effects of biological lubricating molecules on flexor tendon reconstruction in a canine allograft model in vivo. Plast Reconstr Surg. 2014;133(5):628e-37e. PMCID: 4006300.</w:t>
      </w:r>
    </w:p>
    <w:p w14:paraId="4F265632"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4.             Momose T, Amadio PC, Zhao C, Zobitz ME, Couvreur PJ, An KN. Suture techniques with high breaking strength and low gliding resistance: experiments in the dog flexor digitorum profundus tendon. Acta Orthop Scand. 2001;72(6):635-41.</w:t>
      </w:r>
    </w:p>
    <w:p w14:paraId="0CC58A18"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 xml:space="preserve">5.             Zhao C, Amadio PC, Momose T, Couvreur P, Zobitz ME, An KN. </w:t>
      </w:r>
      <w:r w:rsidRPr="000D0222">
        <w:rPr>
          <w:rFonts w:ascii="Arial" w:hAnsi="Arial" w:cs="Arial"/>
          <w:color w:val="1A1A1A"/>
          <w:u w:color="6B006D"/>
          <w:lang w:val="en-US"/>
        </w:rPr>
        <w:lastRenderedPageBreak/>
        <w:t>The effect of suture technique on adhesion formation after flexor tendon repair for partial lacerations in a canine model. J Trauma. 2001;51(5):917-21.</w:t>
      </w:r>
    </w:p>
    <w:p w14:paraId="114F6A9A"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6.             Vanhees M, Thoreson AR, Larson DR, Amadio PC, An KN, Zhao C. The effect of suture preloading on the force to failure and gap formation after flexor tendon repair. J Hand Surg Am. 2013;38(1):56-61. PMCID: 3910901.</w:t>
      </w:r>
    </w:p>
    <w:p w14:paraId="2EB94C0C"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7.             Zhao C, Hsu CC, Moriya T, Thoreson AR, Cha SS, Moran SL, et al. Beyond the square knot: a novel knotting technique for surgical use. J Bone Joint Surg Am. 2013;95(11):1020-7. PMCID: 3748986.</w:t>
      </w:r>
    </w:p>
    <w:p w14:paraId="15A72162"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8.             Lin GT, Amadio PC, An KN, Cooney WP, Chao EY. Biomechanical analysis of finger flexor pulley reconstruction. J Hand Surg Br. 1989;14(3):278-82.</w:t>
      </w:r>
    </w:p>
    <w:p w14:paraId="47B868D8" w14:textId="77777777" w:rsidR="003F7F9E" w:rsidRPr="000D0222" w:rsidRDefault="003F7F9E" w:rsidP="003F7F9E">
      <w:pPr>
        <w:widowControl w:val="0"/>
        <w:autoSpaceDE w:val="0"/>
        <w:autoSpaceDN w:val="0"/>
        <w:adjustRightInd w:val="0"/>
        <w:ind w:left="708"/>
        <w:rPr>
          <w:rFonts w:ascii="Arial" w:hAnsi="Arial" w:cs="Arial"/>
          <w:color w:val="1A1A1A"/>
          <w:u w:color="6B006D"/>
          <w:lang w:val="en-US"/>
        </w:rPr>
      </w:pPr>
      <w:r w:rsidRPr="000D0222">
        <w:rPr>
          <w:rFonts w:ascii="Arial" w:hAnsi="Arial" w:cs="Arial"/>
          <w:color w:val="1A1A1A"/>
          <w:u w:color="6B006D"/>
          <w:lang w:val="en-US"/>
        </w:rPr>
        <w:t>9.             Paillard PJ, Amadio PC, Zhao C, Zobitz ME, An KN. Pulley plasty versus resection of one slip of the flexor digitorum superficialis after repair of both flexor tendons in zone II: a biomechanical study. J Bone Joint Surg Am. 2002;84-A(11):2039-45.</w:t>
      </w:r>
    </w:p>
    <w:p w14:paraId="089B01CF" w14:textId="77777777" w:rsidR="003F7F9E" w:rsidRPr="000D0222" w:rsidRDefault="003F7F9E" w:rsidP="003F7F9E">
      <w:pPr>
        <w:ind w:left="708"/>
        <w:rPr>
          <w:rFonts w:ascii="Arial" w:hAnsi="Arial" w:cs="Arial"/>
          <w:color w:val="1A1A1A"/>
          <w:u w:color="6B006D"/>
          <w:lang w:val="en-US"/>
        </w:rPr>
      </w:pPr>
      <w:r w:rsidRPr="000D0222">
        <w:rPr>
          <w:rFonts w:ascii="Arial" w:hAnsi="Arial" w:cs="Arial"/>
          <w:color w:val="1A1A1A"/>
          <w:u w:color="6B006D"/>
          <w:lang w:val="en-US"/>
        </w:rPr>
        <w:t>10.           Zhao C, Amadio PC, Zobitz ME, An KN. Resection of the flexor digitorum superficialis reduces gliding resistance after zone II flexor digitorum profundus repair in vitro. J Hand Surg Am. 2002;27(2):316-21.</w:t>
      </w:r>
    </w:p>
    <w:p w14:paraId="3DA125C9" w14:textId="77777777" w:rsidR="003F7F9E" w:rsidRPr="000D0222" w:rsidRDefault="003F7F9E" w:rsidP="003F7F9E">
      <w:pPr>
        <w:ind w:left="708"/>
        <w:rPr>
          <w:rFonts w:ascii="Arial" w:hAnsi="Arial" w:cs="Arial"/>
          <w:color w:val="1A1A1A"/>
          <w:u w:color="6B006D"/>
          <w:lang w:val="en-US"/>
        </w:rPr>
      </w:pPr>
    </w:p>
    <w:p w14:paraId="2DE0430D" w14:textId="77777777" w:rsidR="003F7F9E" w:rsidRPr="000D0222" w:rsidRDefault="003F7F9E" w:rsidP="000D0222">
      <w:pPr>
        <w:rPr>
          <w:rFonts w:ascii="Arial" w:hAnsi="Arial" w:cs="Arial"/>
          <w:color w:val="1A1A1A"/>
          <w:u w:color="6B006D"/>
          <w:lang w:val="en-US"/>
        </w:rPr>
      </w:pPr>
    </w:p>
    <w:p w14:paraId="0F79175A" w14:textId="77777777" w:rsidR="003F7F9E" w:rsidRPr="000D0222" w:rsidRDefault="003F7F9E" w:rsidP="003F7F9E">
      <w:pPr>
        <w:ind w:left="708"/>
        <w:rPr>
          <w:rFonts w:ascii="Arial" w:hAnsi="Arial" w:cs="Arial"/>
          <w:i/>
          <w:color w:val="1A1A1A"/>
          <w:u w:color="6B006D"/>
          <w:lang w:val="en-US"/>
        </w:rPr>
      </w:pPr>
      <w:r w:rsidRPr="000D0222">
        <w:rPr>
          <w:rFonts w:ascii="Arial" w:hAnsi="Arial" w:cs="Arial"/>
          <w:i/>
          <w:color w:val="1A1A1A"/>
          <w:u w:color="6B006D"/>
          <w:lang w:val="en-US"/>
        </w:rPr>
        <w:t>prof. dr. Haustvedt</w:t>
      </w:r>
    </w:p>
    <w:p w14:paraId="33819211" w14:textId="77777777" w:rsidR="003F7F9E" w:rsidRPr="000D0222" w:rsidRDefault="003F7F9E" w:rsidP="003F7F9E">
      <w:pPr>
        <w:ind w:left="708"/>
        <w:rPr>
          <w:rFonts w:ascii="Arial" w:hAnsi="Arial" w:cs="Arial"/>
          <w:color w:val="1A1A1A"/>
          <w:u w:color="6B006D"/>
          <w:lang w:val="en-US"/>
        </w:rPr>
      </w:pPr>
    </w:p>
    <w:p w14:paraId="0CCD5CC3" w14:textId="77777777" w:rsidR="003F7F9E" w:rsidRPr="000D0222" w:rsidRDefault="003F7F9E" w:rsidP="003F7F9E">
      <w:pPr>
        <w:ind w:left="708"/>
        <w:jc w:val="center"/>
        <w:rPr>
          <w:rFonts w:ascii="Arial" w:hAnsi="Arial" w:cs="Arial"/>
          <w:lang w:val="en-GB"/>
        </w:rPr>
      </w:pPr>
      <w:r w:rsidRPr="000D0222">
        <w:rPr>
          <w:rFonts w:ascii="Arial" w:hAnsi="Arial" w:cs="Arial"/>
          <w:lang w:val="en-GB"/>
        </w:rPr>
        <w:t>The distal radio-ulnar joint: what have we learned from its complex anatomy?</w:t>
      </w:r>
    </w:p>
    <w:p w14:paraId="3D6C5C5D" w14:textId="77777777" w:rsidR="003F7F9E" w:rsidRPr="000D0222" w:rsidRDefault="003F7F9E" w:rsidP="003F7F9E">
      <w:pPr>
        <w:ind w:left="708"/>
        <w:rPr>
          <w:rFonts w:ascii="Arial" w:hAnsi="Arial" w:cs="Arial"/>
          <w:lang w:val="en-GB"/>
        </w:rPr>
      </w:pPr>
    </w:p>
    <w:p w14:paraId="0120261E" w14:textId="77777777" w:rsidR="003F7F9E" w:rsidRPr="000D0222" w:rsidRDefault="003F7F9E" w:rsidP="003F7F9E">
      <w:pPr>
        <w:ind w:left="708"/>
        <w:jc w:val="both"/>
        <w:rPr>
          <w:rFonts w:ascii="Arial" w:hAnsi="Arial" w:cs="Arial"/>
          <w:lang w:val="en-GB"/>
        </w:rPr>
      </w:pPr>
      <w:r w:rsidRPr="000D0222">
        <w:rPr>
          <w:rFonts w:ascii="Arial" w:hAnsi="Arial" w:cs="Arial"/>
          <w:lang w:val="en-GB"/>
        </w:rPr>
        <w:t>The distal radioulnar joint (DRUJ) allows man to rotate the forearm to place the hand in a desired position to perform different tasks, without interfering with the grasping function of the hand. The ulna is the stable part of the forearm around which the radius rotates; the stability of the DRUJ is provided by the interaction between ligaments, muscles and bones. The stabilizing structures are the triangular fibrocartilage complex, the ulnocarpal ligament complex, the extensor carpi ulnaris tendon and tendon sheath, the pronator quadratus, the interosseous membrane and ligament, the bone itself and the joint capsule.</w:t>
      </w:r>
    </w:p>
    <w:p w14:paraId="49630791" w14:textId="77777777" w:rsidR="003F7F9E" w:rsidRPr="000D0222" w:rsidRDefault="003F7F9E" w:rsidP="003F7F9E">
      <w:pPr>
        <w:ind w:left="708"/>
        <w:jc w:val="both"/>
        <w:rPr>
          <w:rFonts w:ascii="Arial" w:hAnsi="Arial" w:cs="Arial"/>
          <w:lang w:val="en-GB"/>
        </w:rPr>
      </w:pPr>
    </w:p>
    <w:p w14:paraId="19CED225" w14:textId="44678101" w:rsidR="00FB6BB6" w:rsidRPr="000D0222" w:rsidRDefault="003F7F9E" w:rsidP="000D0222">
      <w:pPr>
        <w:ind w:left="708"/>
        <w:jc w:val="both"/>
        <w:rPr>
          <w:rFonts w:ascii="Arial" w:hAnsi="Arial" w:cs="Arial"/>
          <w:lang w:val="en-US"/>
        </w:rPr>
      </w:pPr>
      <w:r w:rsidRPr="000D0222">
        <w:rPr>
          <w:rFonts w:ascii="Arial" w:hAnsi="Arial" w:cs="Arial"/>
          <w:lang w:val="en-GB"/>
        </w:rPr>
        <w:t>During the last decades research has been performed on these different structures and we have learned to understand the importance of each of the structures as well as the interaction between them. The purpose of this talk is to present and illustrate the current understanding of the functional anatomy and pathomechanics of the DRUJ.</w:t>
      </w:r>
      <w:bookmarkStart w:id="0" w:name="_GoBack"/>
      <w:bookmarkEnd w:id="0"/>
    </w:p>
    <w:p w14:paraId="2E608805" w14:textId="77777777" w:rsidR="00FB6BB6" w:rsidRPr="000D0222" w:rsidRDefault="00FB6BB6" w:rsidP="003F7F9E">
      <w:pPr>
        <w:rPr>
          <w:rFonts w:ascii="Arial" w:hAnsi="Arial" w:cs="Arial"/>
          <w:lang w:val="en-US"/>
        </w:rPr>
      </w:pPr>
    </w:p>
    <w:p w14:paraId="484EF298" w14:textId="77777777" w:rsidR="00FB6BB6" w:rsidRPr="000D0222" w:rsidRDefault="00FB6BB6" w:rsidP="003F7F9E">
      <w:pPr>
        <w:rPr>
          <w:rFonts w:ascii="Arial" w:hAnsi="Arial" w:cs="Arial"/>
          <w:i/>
          <w:lang w:val="en-US"/>
        </w:rPr>
      </w:pPr>
    </w:p>
    <w:p w14:paraId="17BD95B3" w14:textId="1F908B21" w:rsidR="00FB6BB6" w:rsidRPr="000D0222" w:rsidRDefault="00FB6BB6" w:rsidP="003F7F9E">
      <w:pPr>
        <w:rPr>
          <w:rFonts w:ascii="Arial" w:hAnsi="Arial" w:cs="Arial"/>
          <w:i/>
          <w:lang w:val="en-US"/>
        </w:rPr>
      </w:pPr>
      <w:r w:rsidRPr="000D0222">
        <w:rPr>
          <w:rFonts w:ascii="Arial" w:hAnsi="Arial" w:cs="Arial"/>
          <w:i/>
          <w:lang w:val="en-US"/>
        </w:rPr>
        <w:t>Prof. dr. Dellon</w:t>
      </w:r>
    </w:p>
    <w:p w14:paraId="5F24BDC1" w14:textId="77777777" w:rsidR="00FB6BB6" w:rsidRPr="000D0222" w:rsidRDefault="00FB6BB6" w:rsidP="003F7F9E">
      <w:pPr>
        <w:rPr>
          <w:rFonts w:ascii="Arial" w:hAnsi="Arial" w:cs="Arial"/>
          <w:lang w:val="en-US"/>
        </w:rPr>
      </w:pPr>
    </w:p>
    <w:p w14:paraId="681AAAE1" w14:textId="77777777" w:rsidR="00FB6BB6" w:rsidRPr="000D0222" w:rsidRDefault="00FB6BB6" w:rsidP="00FB6BB6">
      <w:pPr>
        <w:widowControl w:val="0"/>
        <w:autoSpaceDE w:val="0"/>
        <w:autoSpaceDN w:val="0"/>
        <w:adjustRightInd w:val="0"/>
        <w:spacing w:after="240" w:line="480" w:lineRule="atLeast"/>
        <w:rPr>
          <w:rFonts w:ascii="Arial" w:hAnsi="Arial" w:cs="Arial"/>
          <w:color w:val="000000"/>
          <w:lang w:val="en-US"/>
        </w:rPr>
      </w:pPr>
      <w:r w:rsidRPr="000D0222">
        <w:rPr>
          <w:rFonts w:ascii="Arial" w:hAnsi="Arial" w:cs="Arial"/>
          <w:b/>
          <w:bCs/>
          <w:color w:val="000000"/>
          <w:lang w:val="en-US"/>
        </w:rPr>
        <w:t>CRPS of the upper or lower extremity: surgical treatment outcomes</w:t>
      </w:r>
      <w:r w:rsidRPr="000D0222">
        <w:rPr>
          <w:rFonts w:ascii="MS Mincho" w:eastAsia="MS Mincho" w:hAnsi="MS Mincho" w:cs="MS Mincho"/>
          <w:b/>
          <w:bCs/>
          <w:color w:val="000000"/>
          <w:lang w:val="en-US"/>
        </w:rPr>
        <w:t> </w:t>
      </w:r>
    </w:p>
    <w:p w14:paraId="1F64A7B9" w14:textId="77777777" w:rsidR="00FB6BB6" w:rsidRPr="000D0222" w:rsidRDefault="00FB6BB6" w:rsidP="00FB6BB6">
      <w:pPr>
        <w:widowControl w:val="0"/>
        <w:autoSpaceDE w:val="0"/>
        <w:autoSpaceDN w:val="0"/>
        <w:adjustRightInd w:val="0"/>
        <w:spacing w:after="240" w:line="360" w:lineRule="atLeast"/>
        <w:rPr>
          <w:rFonts w:ascii="Arial" w:hAnsi="Arial" w:cs="Arial"/>
          <w:color w:val="000000"/>
          <w:lang w:val="en-US"/>
        </w:rPr>
      </w:pPr>
      <w:r w:rsidRPr="000D0222">
        <w:rPr>
          <w:rFonts w:ascii="Arial" w:hAnsi="Arial" w:cs="Arial"/>
          <w:b/>
          <w:bCs/>
          <w:color w:val="000000"/>
          <w:lang w:val="en-US"/>
        </w:rPr>
        <w:t xml:space="preserve">Abstract </w:t>
      </w:r>
    </w:p>
    <w:p w14:paraId="738332BB" w14:textId="77777777" w:rsidR="00FB6BB6" w:rsidRPr="000D0222" w:rsidRDefault="00FB6BB6" w:rsidP="00FB6BB6">
      <w:pPr>
        <w:widowControl w:val="0"/>
        <w:autoSpaceDE w:val="0"/>
        <w:autoSpaceDN w:val="0"/>
        <w:adjustRightInd w:val="0"/>
        <w:spacing w:after="240" w:line="300" w:lineRule="atLeast"/>
        <w:rPr>
          <w:rFonts w:ascii="Arial" w:hAnsi="Arial" w:cs="Arial"/>
          <w:color w:val="000000"/>
          <w:lang w:val="en-US"/>
        </w:rPr>
      </w:pPr>
      <w:r w:rsidRPr="000D0222">
        <w:rPr>
          <w:rFonts w:ascii="Arial" w:hAnsi="Arial" w:cs="Arial"/>
          <w:color w:val="000000"/>
          <w:lang w:val="en-US"/>
        </w:rPr>
        <w:t xml:space="preserve">The hypothesis is explored that CRPS I (the "new" RSD) persists due to undiagnosed injured joint afferents, and/or cutaneous neuromas, and/or nerve compressions, and is, therefore, a misdiagnosed form of CRPS II (the "new" causalgia). An IRB-approved, retrospective chart review on a series of 100 consecutive patients with "RSD" identified 40 upper and 30 lower extremity patients for surgery based upon their history, physical examination, neurosensory testing, and nerve blocks. Based upon decreased pain medication usage and recovery of function, outcome in the upper extremity, at a mean of 27.9 months follow-up (range of 9 to 81 months), gave results that were excellent in 40% (16 of 40 patients), good in 40% (16 of 40 patients) and failure 20% (8 of 40 patients). In the lower extremity, at a mean of 23.0 months follow-up (range of 9 to 69 months) the results were excellent in 47% (14 of 30 patients), good in 33% (10 of 30 patients) and failure 20% (6 of 30 patients). It is concluded that most patients referred with a diagnosis of CRPS I have continuing pain input from injured joint or cutaneous afferents, and/or nerve compressions, and, therefore, similar to a patient with CRPS II, they can be treated successfully with an appropriate peripheral nerve surgical strategy. </w:t>
      </w:r>
    </w:p>
    <w:p w14:paraId="073627B1" w14:textId="77777777" w:rsidR="00FB6BB6" w:rsidRPr="000D0222" w:rsidRDefault="00FB6BB6" w:rsidP="00FB6BB6">
      <w:pPr>
        <w:widowControl w:val="0"/>
        <w:autoSpaceDE w:val="0"/>
        <w:autoSpaceDN w:val="0"/>
        <w:adjustRightInd w:val="0"/>
        <w:rPr>
          <w:rFonts w:ascii="Arial" w:hAnsi="Arial" w:cs="Arial"/>
          <w:lang w:val="en-US"/>
        </w:rPr>
      </w:pPr>
    </w:p>
    <w:sectPr w:rsidR="00FB6BB6" w:rsidRPr="000D0222" w:rsidSect="00356E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19"/>
    <w:rsid w:val="000D0222"/>
    <w:rsid w:val="00356E78"/>
    <w:rsid w:val="003F7F9E"/>
    <w:rsid w:val="008E1F19"/>
    <w:rsid w:val="00FB6BB6"/>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A09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592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940</Words>
  <Characters>5171</Characters>
  <Application>Microsoft Macintosh Word</Application>
  <DocSecurity>0</DocSecurity>
  <Lines>43</Lines>
  <Paragraphs>12</Paragraphs>
  <ScaleCrop>false</ScaleCrop>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Rinkel</dc:creator>
  <cp:keywords/>
  <dc:description/>
  <cp:lastModifiedBy>Willem Rinkel</cp:lastModifiedBy>
  <cp:revision>4</cp:revision>
  <dcterms:created xsi:type="dcterms:W3CDTF">2017-02-23T07:54:00Z</dcterms:created>
  <dcterms:modified xsi:type="dcterms:W3CDTF">2017-03-13T11:23:00Z</dcterms:modified>
</cp:coreProperties>
</file>