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655"/>
        <w:tblW w:w="14106" w:type="dxa"/>
        <w:tbl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single" w:sz="8" w:space="0" w:color="4BACC6" w:themeColor="accent5"/>
          <w:insideV w:val="single" w:sz="8" w:space="0" w:color="4BACC6" w:themeColor="accent5"/>
        </w:tblBorders>
        <w:tblLayout w:type="fixed"/>
        <w:tblLook w:val="04A0"/>
      </w:tblPr>
      <w:tblGrid>
        <w:gridCol w:w="3074"/>
        <w:gridCol w:w="1401"/>
        <w:gridCol w:w="9631"/>
      </w:tblGrid>
      <w:tr w:rsidR="00FD7A0E" w:rsidRPr="00FD7A0E" w:rsidTr="00FD7A0E">
        <w:trPr>
          <w:trHeight w:val="794"/>
        </w:trPr>
        <w:tc>
          <w:tcPr>
            <w:tcW w:w="3074" w:type="dxa"/>
          </w:tcPr>
          <w:p w:rsidR="00FD7A0E" w:rsidRPr="00FD7A0E" w:rsidRDefault="00FD7A0E" w:rsidP="00FD7A0E">
            <w:pPr>
              <w:spacing w:before="240"/>
              <w:ind w:left="-25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D7A0E">
              <w:rPr>
                <w:rFonts w:asciiTheme="minorHAnsi" w:hAnsiTheme="minorHAnsi"/>
                <w:sz w:val="22"/>
                <w:szCs w:val="22"/>
              </w:rPr>
              <w:t>Tijdsschema</w:t>
            </w:r>
          </w:p>
        </w:tc>
        <w:tc>
          <w:tcPr>
            <w:tcW w:w="1401" w:type="dxa"/>
          </w:tcPr>
          <w:p w:rsidR="00FD7A0E" w:rsidRPr="00FD7A0E" w:rsidRDefault="00FD7A0E" w:rsidP="00FD7A0E">
            <w:pPr>
              <w:spacing w:before="240"/>
              <w:ind w:left="-225" w:right="-28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D7A0E">
              <w:rPr>
                <w:rFonts w:asciiTheme="minorHAnsi" w:hAnsiTheme="minorHAnsi"/>
                <w:sz w:val="22"/>
                <w:szCs w:val="22"/>
              </w:rPr>
              <w:t>Leer</w:t>
            </w:r>
          </w:p>
          <w:p w:rsidR="00FD7A0E" w:rsidRPr="00FD7A0E" w:rsidRDefault="00FD7A0E" w:rsidP="00FD7A0E">
            <w:pPr>
              <w:spacing w:before="240"/>
              <w:ind w:left="-367" w:right="-28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D7A0E">
              <w:rPr>
                <w:rFonts w:asciiTheme="minorHAnsi" w:hAnsiTheme="minorHAnsi"/>
                <w:sz w:val="22"/>
                <w:szCs w:val="22"/>
              </w:rPr>
              <w:t>activiteit</w:t>
            </w:r>
          </w:p>
        </w:tc>
        <w:tc>
          <w:tcPr>
            <w:tcW w:w="9631" w:type="dxa"/>
          </w:tcPr>
          <w:p w:rsidR="00FD7A0E" w:rsidRPr="00FD7A0E" w:rsidRDefault="00FD7A0E" w:rsidP="00FD7A0E">
            <w:pPr>
              <w:spacing w:before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D7A0E">
              <w:rPr>
                <w:rFonts w:asciiTheme="minorHAnsi" w:hAnsiTheme="minorHAnsi"/>
                <w:sz w:val="22"/>
                <w:szCs w:val="22"/>
              </w:rPr>
              <w:t>Onderwerp</w:t>
            </w:r>
          </w:p>
        </w:tc>
      </w:tr>
      <w:tr w:rsidR="00FD7A0E" w:rsidRPr="00FD7A0E" w:rsidTr="00FD7A0E">
        <w:trPr>
          <w:trHeight w:val="709"/>
        </w:trPr>
        <w:tc>
          <w:tcPr>
            <w:tcW w:w="3074" w:type="dxa"/>
            <w:vAlign w:val="center"/>
          </w:tcPr>
          <w:p w:rsidR="00FD7A0E" w:rsidRPr="00FD7A0E" w:rsidRDefault="00FD7A0E" w:rsidP="00FD7A0E">
            <w:pPr>
              <w:spacing w:before="240"/>
              <w:ind w:left="284"/>
              <w:rPr>
                <w:rFonts w:asciiTheme="minorHAnsi" w:hAnsiTheme="minorHAnsi"/>
                <w:sz w:val="22"/>
                <w:szCs w:val="22"/>
              </w:rPr>
            </w:pPr>
            <w:r w:rsidRPr="00FD7A0E">
              <w:rPr>
                <w:rFonts w:asciiTheme="minorHAnsi" w:hAnsiTheme="minorHAnsi"/>
                <w:sz w:val="22"/>
                <w:szCs w:val="22"/>
              </w:rPr>
              <w:t>5 minuten</w:t>
            </w:r>
          </w:p>
          <w:p w:rsidR="00FD7A0E" w:rsidRPr="00FD7A0E" w:rsidRDefault="00FD7A0E" w:rsidP="00FD7A0E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1" w:type="dxa"/>
            <w:vAlign w:val="center"/>
          </w:tcPr>
          <w:p w:rsidR="00FD7A0E" w:rsidRPr="00FD7A0E" w:rsidRDefault="00FD7A0E" w:rsidP="00FD7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D7A0E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9631" w:type="dxa"/>
            <w:vAlign w:val="center"/>
          </w:tcPr>
          <w:p w:rsidR="00FD7A0E" w:rsidRPr="00FD7A0E" w:rsidRDefault="00FD7A0E" w:rsidP="00FD7A0E">
            <w:pPr>
              <w:tabs>
                <w:tab w:val="left" w:pos="2863"/>
              </w:tabs>
              <w:ind w:left="912"/>
              <w:rPr>
                <w:rFonts w:asciiTheme="minorHAnsi" w:hAnsiTheme="minorHAnsi"/>
                <w:sz w:val="22"/>
                <w:szCs w:val="22"/>
              </w:rPr>
            </w:pPr>
            <w:r w:rsidRPr="00FD7A0E">
              <w:rPr>
                <w:rFonts w:asciiTheme="minorHAnsi" w:hAnsiTheme="minorHAnsi"/>
                <w:sz w:val="22"/>
                <w:szCs w:val="22"/>
              </w:rPr>
              <w:t>Inleiding</w:t>
            </w:r>
          </w:p>
        </w:tc>
      </w:tr>
      <w:tr w:rsidR="00FD7A0E" w:rsidRPr="00FD7A0E" w:rsidTr="00FD7A0E">
        <w:trPr>
          <w:trHeight w:val="709"/>
        </w:trPr>
        <w:tc>
          <w:tcPr>
            <w:tcW w:w="3074" w:type="dxa"/>
            <w:vAlign w:val="center"/>
          </w:tcPr>
          <w:p w:rsidR="00FD7A0E" w:rsidRPr="00FD7A0E" w:rsidRDefault="00FD7A0E" w:rsidP="00FD7A0E">
            <w:pPr>
              <w:tabs>
                <w:tab w:val="left" w:pos="1072"/>
              </w:tabs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  <w:p w:rsidR="00FD7A0E" w:rsidRPr="00FD7A0E" w:rsidRDefault="00FD7A0E" w:rsidP="00FD7A0E">
            <w:pPr>
              <w:tabs>
                <w:tab w:val="left" w:pos="1072"/>
              </w:tabs>
              <w:ind w:left="284"/>
              <w:rPr>
                <w:rFonts w:asciiTheme="minorHAnsi" w:hAnsiTheme="minorHAnsi"/>
                <w:sz w:val="22"/>
                <w:szCs w:val="22"/>
              </w:rPr>
            </w:pPr>
            <w:r w:rsidRPr="00FD7A0E">
              <w:rPr>
                <w:rFonts w:asciiTheme="minorHAnsi" w:hAnsiTheme="minorHAnsi"/>
                <w:sz w:val="22"/>
                <w:szCs w:val="22"/>
              </w:rPr>
              <w:t>30 minuten</w:t>
            </w:r>
          </w:p>
          <w:p w:rsidR="00FD7A0E" w:rsidRPr="00FD7A0E" w:rsidRDefault="00FD7A0E" w:rsidP="00FD7A0E">
            <w:pPr>
              <w:tabs>
                <w:tab w:val="left" w:pos="1072"/>
              </w:tabs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1" w:type="dxa"/>
            <w:vAlign w:val="center"/>
          </w:tcPr>
          <w:p w:rsidR="00FD7A0E" w:rsidRPr="00FD7A0E" w:rsidRDefault="00FD7A0E" w:rsidP="00FD7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D7A0E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9631" w:type="dxa"/>
            <w:vAlign w:val="center"/>
          </w:tcPr>
          <w:p w:rsidR="00FD7A0E" w:rsidRPr="00FD7A0E" w:rsidRDefault="00FD7A0E" w:rsidP="00FD7A0E">
            <w:pPr>
              <w:ind w:left="912"/>
              <w:rPr>
                <w:rFonts w:asciiTheme="minorHAnsi" w:hAnsiTheme="minorHAnsi"/>
                <w:sz w:val="22"/>
                <w:szCs w:val="22"/>
              </w:rPr>
            </w:pPr>
            <w:r w:rsidRPr="00FD7A0E">
              <w:rPr>
                <w:rFonts w:asciiTheme="minorHAnsi" w:hAnsiTheme="minorHAnsi"/>
                <w:sz w:val="22"/>
                <w:szCs w:val="22"/>
              </w:rPr>
              <w:t>Delirium</w:t>
            </w:r>
          </w:p>
        </w:tc>
      </w:tr>
      <w:tr w:rsidR="00FD7A0E" w:rsidRPr="00FD7A0E" w:rsidTr="00FD7A0E">
        <w:trPr>
          <w:trHeight w:val="732"/>
        </w:trPr>
        <w:tc>
          <w:tcPr>
            <w:tcW w:w="3074" w:type="dxa"/>
            <w:vAlign w:val="center"/>
          </w:tcPr>
          <w:p w:rsidR="00FD7A0E" w:rsidRPr="00FD7A0E" w:rsidRDefault="00FD7A0E" w:rsidP="00FD7A0E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  <w:p w:rsidR="00FD7A0E" w:rsidRPr="00FD7A0E" w:rsidRDefault="00FD7A0E" w:rsidP="00FD7A0E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  <w:r w:rsidRPr="00FD7A0E">
              <w:rPr>
                <w:rFonts w:asciiTheme="minorHAnsi" w:hAnsiTheme="minorHAnsi"/>
                <w:sz w:val="22"/>
                <w:szCs w:val="22"/>
              </w:rPr>
              <w:t>30 minuten</w:t>
            </w:r>
          </w:p>
          <w:p w:rsidR="00FD7A0E" w:rsidRPr="00FD7A0E" w:rsidRDefault="00FD7A0E" w:rsidP="00FD7A0E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1" w:type="dxa"/>
            <w:vAlign w:val="center"/>
          </w:tcPr>
          <w:p w:rsidR="00FD7A0E" w:rsidRPr="00FD7A0E" w:rsidRDefault="00FD7A0E" w:rsidP="00FD7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D7A0E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9631" w:type="dxa"/>
            <w:vAlign w:val="center"/>
          </w:tcPr>
          <w:p w:rsidR="00FD7A0E" w:rsidRPr="00FD7A0E" w:rsidRDefault="00FD7A0E" w:rsidP="00FD7A0E">
            <w:pPr>
              <w:ind w:left="912"/>
              <w:rPr>
                <w:rFonts w:asciiTheme="minorHAnsi" w:hAnsiTheme="minorHAnsi"/>
                <w:sz w:val="22"/>
                <w:szCs w:val="22"/>
              </w:rPr>
            </w:pPr>
            <w:r w:rsidRPr="00FD7A0E">
              <w:rPr>
                <w:rFonts w:asciiTheme="minorHAnsi" w:hAnsiTheme="minorHAnsi"/>
                <w:sz w:val="22"/>
                <w:szCs w:val="22"/>
              </w:rPr>
              <w:t>Fysieke beperking en Vallen</w:t>
            </w:r>
          </w:p>
        </w:tc>
      </w:tr>
      <w:tr w:rsidR="00FD7A0E" w:rsidRPr="00FD7A0E" w:rsidTr="00FD7A0E">
        <w:trPr>
          <w:trHeight w:val="732"/>
        </w:trPr>
        <w:tc>
          <w:tcPr>
            <w:tcW w:w="3074" w:type="dxa"/>
            <w:vAlign w:val="center"/>
          </w:tcPr>
          <w:p w:rsidR="00FD7A0E" w:rsidRPr="00FD7A0E" w:rsidRDefault="00FD7A0E" w:rsidP="00FD7A0E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  <w:p w:rsidR="00FD7A0E" w:rsidRPr="00FD7A0E" w:rsidRDefault="00FD7A0E" w:rsidP="00FD7A0E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  <w:r w:rsidRPr="00FD7A0E">
              <w:rPr>
                <w:rFonts w:asciiTheme="minorHAnsi" w:hAnsiTheme="minorHAnsi"/>
                <w:sz w:val="22"/>
                <w:szCs w:val="22"/>
              </w:rPr>
              <w:t>20 minuten</w:t>
            </w:r>
          </w:p>
          <w:p w:rsidR="00FD7A0E" w:rsidRPr="00FD7A0E" w:rsidRDefault="00FD7A0E" w:rsidP="00FD7A0E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1" w:type="dxa"/>
            <w:vAlign w:val="center"/>
          </w:tcPr>
          <w:p w:rsidR="00FD7A0E" w:rsidRPr="00FD7A0E" w:rsidRDefault="00FD7A0E" w:rsidP="00FD7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D7A0E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9631" w:type="dxa"/>
            <w:vAlign w:val="center"/>
          </w:tcPr>
          <w:p w:rsidR="00FD7A0E" w:rsidRPr="00FD7A0E" w:rsidRDefault="00FD7A0E" w:rsidP="00FD7A0E">
            <w:pPr>
              <w:ind w:left="912"/>
              <w:rPr>
                <w:rFonts w:asciiTheme="minorHAnsi" w:hAnsiTheme="minorHAnsi"/>
                <w:sz w:val="22"/>
                <w:szCs w:val="22"/>
              </w:rPr>
            </w:pPr>
            <w:r w:rsidRPr="00FD7A0E">
              <w:rPr>
                <w:rFonts w:asciiTheme="minorHAnsi" w:hAnsiTheme="minorHAnsi"/>
                <w:sz w:val="22"/>
                <w:szCs w:val="22"/>
              </w:rPr>
              <w:t>Ondervoeding</w:t>
            </w:r>
          </w:p>
        </w:tc>
      </w:tr>
      <w:tr w:rsidR="00FD7A0E" w:rsidRPr="00FD7A0E" w:rsidTr="00FD7A0E">
        <w:trPr>
          <w:trHeight w:val="732"/>
        </w:trPr>
        <w:tc>
          <w:tcPr>
            <w:tcW w:w="3074" w:type="dxa"/>
            <w:vAlign w:val="center"/>
          </w:tcPr>
          <w:p w:rsidR="00FD7A0E" w:rsidRPr="00FD7A0E" w:rsidRDefault="00FD7A0E" w:rsidP="00FD7A0E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  <w:r w:rsidRPr="00FD7A0E">
              <w:rPr>
                <w:rFonts w:asciiTheme="minorHAnsi" w:hAnsiTheme="minorHAnsi"/>
                <w:sz w:val="22"/>
                <w:szCs w:val="22"/>
              </w:rPr>
              <w:t xml:space="preserve">15 minuten </w:t>
            </w:r>
          </w:p>
        </w:tc>
        <w:tc>
          <w:tcPr>
            <w:tcW w:w="1401" w:type="dxa"/>
            <w:vAlign w:val="center"/>
          </w:tcPr>
          <w:p w:rsidR="00FD7A0E" w:rsidRPr="00FD7A0E" w:rsidRDefault="00FD7A0E" w:rsidP="00FD7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D7A0E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9631" w:type="dxa"/>
            <w:vAlign w:val="center"/>
          </w:tcPr>
          <w:p w:rsidR="00FD7A0E" w:rsidRPr="00FD7A0E" w:rsidRDefault="00FD7A0E" w:rsidP="00FD7A0E">
            <w:pPr>
              <w:ind w:left="912"/>
              <w:rPr>
                <w:rFonts w:asciiTheme="minorHAnsi" w:hAnsiTheme="minorHAnsi"/>
                <w:sz w:val="22"/>
                <w:szCs w:val="22"/>
              </w:rPr>
            </w:pPr>
            <w:r w:rsidRPr="00FD7A0E">
              <w:rPr>
                <w:rFonts w:asciiTheme="minorHAnsi" w:hAnsiTheme="minorHAnsi"/>
                <w:sz w:val="22"/>
                <w:szCs w:val="22"/>
              </w:rPr>
              <w:t>Afdelingsspecifieke aspecten m.b.t. de kwetsbare ouderen</w:t>
            </w:r>
          </w:p>
        </w:tc>
      </w:tr>
      <w:tr w:rsidR="00FD7A0E" w:rsidRPr="00FD7A0E" w:rsidTr="00FD7A0E">
        <w:trPr>
          <w:trHeight w:val="732"/>
        </w:trPr>
        <w:tc>
          <w:tcPr>
            <w:tcW w:w="3074" w:type="dxa"/>
            <w:vAlign w:val="center"/>
          </w:tcPr>
          <w:p w:rsidR="00FD7A0E" w:rsidRPr="00FD7A0E" w:rsidRDefault="00FD7A0E" w:rsidP="00FD7A0E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  <w:p w:rsidR="00FD7A0E" w:rsidRPr="00FD7A0E" w:rsidRDefault="00FD7A0E" w:rsidP="00FD7A0E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  <w:r w:rsidRPr="00FD7A0E">
              <w:rPr>
                <w:rFonts w:asciiTheme="minorHAnsi" w:hAnsiTheme="minorHAnsi"/>
                <w:sz w:val="22"/>
                <w:szCs w:val="22"/>
              </w:rPr>
              <w:t>10 minuten</w:t>
            </w:r>
          </w:p>
          <w:p w:rsidR="00FD7A0E" w:rsidRPr="00FD7A0E" w:rsidRDefault="00FD7A0E" w:rsidP="00FD7A0E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1" w:type="dxa"/>
            <w:vAlign w:val="center"/>
          </w:tcPr>
          <w:p w:rsidR="00FD7A0E" w:rsidRPr="00FD7A0E" w:rsidRDefault="00FD7A0E" w:rsidP="00FD7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D7A0E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9631" w:type="dxa"/>
            <w:vAlign w:val="center"/>
          </w:tcPr>
          <w:p w:rsidR="00FD7A0E" w:rsidRPr="00FD7A0E" w:rsidRDefault="00FD7A0E" w:rsidP="00FD7A0E">
            <w:pPr>
              <w:ind w:left="912"/>
              <w:rPr>
                <w:rFonts w:asciiTheme="minorHAnsi" w:hAnsiTheme="minorHAnsi"/>
                <w:sz w:val="22"/>
                <w:szCs w:val="22"/>
              </w:rPr>
            </w:pPr>
            <w:r w:rsidRPr="00FD7A0E">
              <w:rPr>
                <w:rFonts w:asciiTheme="minorHAnsi" w:hAnsiTheme="minorHAnsi"/>
                <w:sz w:val="22"/>
                <w:szCs w:val="22"/>
              </w:rPr>
              <w:t>Evaluatie en afsluiting</w:t>
            </w:r>
          </w:p>
        </w:tc>
      </w:tr>
    </w:tbl>
    <w:p w:rsidR="00770AB3" w:rsidRPr="00FD7A0E" w:rsidRDefault="00FD7A0E">
      <w:pPr>
        <w:rPr>
          <w:rFonts w:ascii="Arial" w:hAnsi="Arial" w:cs="Arial"/>
          <w:b/>
        </w:rPr>
      </w:pPr>
      <w:r w:rsidRPr="00FD7A0E">
        <w:rPr>
          <w:rFonts w:ascii="Arial" w:hAnsi="Arial" w:cs="Arial"/>
          <w:b/>
        </w:rPr>
        <w:t>Programma kwetsbare ouderen</w:t>
      </w:r>
    </w:p>
    <w:sectPr w:rsidR="00770AB3" w:rsidRPr="00FD7A0E" w:rsidSect="00FD7A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D7A0E"/>
    <w:rsid w:val="00770AB3"/>
    <w:rsid w:val="00FD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Standaard tekst"/>
    <w:qFormat/>
    <w:rsid w:val="00FD7A0E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raster-accent5">
    <w:name w:val="Light Grid Accent 5"/>
    <w:basedOn w:val="Standaardtabel"/>
    <w:uiPriority w:val="62"/>
    <w:rsid w:val="00FD7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255</Characters>
  <Application>Microsoft Office Word</Application>
  <DocSecurity>0</DocSecurity>
  <Lines>2</Lines>
  <Paragraphs>1</Paragraphs>
  <ScaleCrop>false</ScaleCrop>
  <Company>Medisch Spectrum Twente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Piggott</dc:creator>
  <cp:lastModifiedBy>H Piggott</cp:lastModifiedBy>
  <cp:revision>1</cp:revision>
  <dcterms:created xsi:type="dcterms:W3CDTF">2016-09-29T09:37:00Z</dcterms:created>
  <dcterms:modified xsi:type="dcterms:W3CDTF">2016-09-29T09:38:00Z</dcterms:modified>
</cp:coreProperties>
</file>